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6F89EC" w14:textId="166140C2" w:rsidR="0098077D" w:rsidRPr="00D55E3B" w:rsidRDefault="0098077D" w:rsidP="0098077D">
      <w:pPr>
        <w:pStyle w:val="Heading2"/>
        <w:rPr>
          <w:rFonts w:ascii="Arial" w:hAnsi="Arial" w:cs="Arial"/>
        </w:rPr>
      </w:pPr>
      <w:r w:rsidRPr="00D55E3B">
        <w:rPr>
          <w:rFonts w:ascii="Arial" w:hAnsi="Arial" w:cs="Arial"/>
        </w:rPr>
        <w:t>Hellenization Leads to New Teachings on Death</w:t>
      </w:r>
      <w:r w:rsidR="00AA4B6B">
        <w:rPr>
          <w:rFonts w:ascii="Arial" w:hAnsi="Arial" w:cs="Arial"/>
        </w:rPr>
        <w:t xml:space="preserve"> and Hell</w:t>
      </w:r>
    </w:p>
    <w:p w14:paraId="620B161F" w14:textId="77777777" w:rsidR="0098077D" w:rsidRPr="00D55E3B" w:rsidRDefault="0098077D" w:rsidP="0098077D">
      <w:pPr>
        <w:rPr>
          <w:rFonts w:ascii="Arial" w:hAnsi="Arial" w:cs="Arial"/>
        </w:rPr>
      </w:pPr>
    </w:p>
    <w:p w14:paraId="5E5C98F9" w14:textId="62FBA966" w:rsidR="0098077D" w:rsidRPr="00D55E3B" w:rsidRDefault="0098077D" w:rsidP="0098077D">
      <w:pPr>
        <w:spacing w:line="360" w:lineRule="auto"/>
        <w:rPr>
          <w:rFonts w:ascii="Arial" w:hAnsi="Arial" w:cs="Arial"/>
        </w:rPr>
      </w:pPr>
      <w:r w:rsidRPr="00D55E3B">
        <w:rPr>
          <w:rFonts w:ascii="Arial" w:hAnsi="Arial" w:cs="Arial"/>
        </w:rPr>
        <w:t>The abandonment of the Sabbath and doing all they could to avoid looking Jewish</w:t>
      </w:r>
      <w:r>
        <w:rPr>
          <w:rFonts w:ascii="Arial" w:hAnsi="Arial" w:cs="Arial"/>
        </w:rPr>
        <w:t xml:space="preserve">, </w:t>
      </w:r>
      <w:r w:rsidRPr="00D55E3B">
        <w:rPr>
          <w:rFonts w:ascii="Arial" w:hAnsi="Arial" w:cs="Arial"/>
        </w:rPr>
        <w:t>encouraged</w:t>
      </w:r>
      <w:r>
        <w:rPr>
          <w:rFonts w:ascii="Arial" w:hAnsi="Arial" w:cs="Arial"/>
        </w:rPr>
        <w:t xml:space="preserve"> many in</w:t>
      </w:r>
      <w:r w:rsidRPr="00D55E3B">
        <w:rPr>
          <w:rFonts w:ascii="Arial" w:hAnsi="Arial" w:cs="Arial"/>
        </w:rPr>
        <w:t xml:space="preserve"> the early Christian church to look to Greek philosophy. There were many converts with a Greek </w:t>
      </w:r>
      <w:r>
        <w:rPr>
          <w:rFonts w:ascii="Arial" w:hAnsi="Arial" w:cs="Arial"/>
        </w:rPr>
        <w:t>p</w:t>
      </w:r>
      <w:r w:rsidRPr="00D55E3B">
        <w:rPr>
          <w:rFonts w:ascii="Arial" w:hAnsi="Arial" w:cs="Arial"/>
        </w:rPr>
        <w:t>hilosophical background</w:t>
      </w:r>
      <w:r>
        <w:rPr>
          <w:rFonts w:ascii="Arial" w:hAnsi="Arial" w:cs="Arial"/>
        </w:rPr>
        <w:t>. W</w:t>
      </w:r>
      <w:r w:rsidRPr="00D55E3B">
        <w:rPr>
          <w:rFonts w:ascii="Arial" w:hAnsi="Arial" w:cs="Arial"/>
        </w:rPr>
        <w:t>hen they came into the church, they brought some of their philosophy with them. George W. Reid, Ph.D. puts it this way:</w:t>
      </w:r>
    </w:p>
    <w:p w14:paraId="21657003" w14:textId="77777777" w:rsidR="0098077D" w:rsidRPr="00D55E3B" w:rsidRDefault="0098077D" w:rsidP="0098077D">
      <w:pPr>
        <w:rPr>
          <w:rFonts w:ascii="Arial" w:hAnsi="Arial" w:cs="Arial"/>
        </w:rPr>
      </w:pPr>
    </w:p>
    <w:p w14:paraId="4B86D79D" w14:textId="77777777" w:rsidR="0098077D" w:rsidRPr="00D55E3B" w:rsidRDefault="0098077D" w:rsidP="0098077D">
      <w:pPr>
        <w:spacing w:line="360" w:lineRule="auto"/>
        <w:ind w:left="720"/>
        <w:rPr>
          <w:rFonts w:ascii="Arial" w:hAnsi="Arial" w:cs="Arial"/>
        </w:rPr>
      </w:pPr>
      <w:r w:rsidRPr="00D55E3B">
        <w:rPr>
          <w:rFonts w:ascii="Arial" w:hAnsi="Arial" w:cs="Arial"/>
        </w:rPr>
        <w:t>Uniformly, the early patristic arguments focus on the evils of Jewish practice rather than the merits of Sunday observance. The abandonment of the Sabbath with its consequent adoption of Sunday stands as a classic example of religious capitulation in the face of hostile social disapproval. With the turn away from its original Hebrew roots, Christianity advanced rapidly toward Hellenization. Greek dualism displaced the biblical understanding of reality and rapid changes followed.</w:t>
      </w:r>
      <w:r w:rsidRPr="00D55E3B">
        <w:rPr>
          <w:rStyle w:val="FootnoteReference"/>
          <w:rFonts w:ascii="Arial" w:hAnsi="Arial" w:cs="Arial"/>
        </w:rPr>
        <w:footnoteReference w:id="1"/>
      </w:r>
    </w:p>
    <w:p w14:paraId="0F0A888A" w14:textId="77777777" w:rsidR="0098077D" w:rsidRPr="00D55E3B" w:rsidRDefault="0098077D" w:rsidP="0098077D">
      <w:pPr>
        <w:rPr>
          <w:rFonts w:ascii="Arial" w:hAnsi="Arial" w:cs="Arial"/>
        </w:rPr>
      </w:pPr>
    </w:p>
    <w:p w14:paraId="2224DC31" w14:textId="77777777" w:rsidR="0098077D" w:rsidRPr="00D55E3B" w:rsidRDefault="0098077D" w:rsidP="0098077D">
      <w:pPr>
        <w:spacing w:line="360" w:lineRule="auto"/>
        <w:rPr>
          <w:rFonts w:ascii="Arial" w:hAnsi="Arial" w:cs="Arial"/>
        </w:rPr>
      </w:pPr>
      <w:r w:rsidRPr="00D55E3B">
        <w:rPr>
          <w:rFonts w:ascii="Arial" w:hAnsi="Arial" w:cs="Arial"/>
        </w:rPr>
        <w:t>One of these changes was the understanding about what happens at death. By the time that the New Testament was written, there were sects of Jews who taught the same as the Greeks about death:</w:t>
      </w:r>
    </w:p>
    <w:p w14:paraId="7B201745" w14:textId="77777777" w:rsidR="0098077D" w:rsidRPr="00D55E3B" w:rsidRDefault="0098077D" w:rsidP="0098077D">
      <w:pPr>
        <w:spacing w:line="360" w:lineRule="auto"/>
        <w:ind w:left="720"/>
        <w:rPr>
          <w:rFonts w:ascii="Arial" w:hAnsi="Arial" w:cs="Arial"/>
        </w:rPr>
      </w:pPr>
      <w:r w:rsidRPr="00D55E3B">
        <w:rPr>
          <w:rFonts w:ascii="Arial" w:hAnsi="Arial" w:cs="Arial"/>
        </w:rPr>
        <w:br/>
        <w:t xml:space="preserve">“For their doctrine is this: That bodies are corruptible, and that the matter they are made of is not permanent; but that the souls are immortal, and continue forever... And this is like the opinions of the Greeks… And indeed the Greeks seem to me to have followed the same notion… which is built on this first supposition, that souls are immortal; and thence are those exhortations to virtue, and dehortations from wickedness collected; whereby good men are bettered in the conduct of their life by the hope they have of reward after their death; and whereby …bad men… are restrained, by the fear …they should suffer immortal punishment after their death. These are the Divine doctrines of the Essenes </w:t>
      </w:r>
      <w:r w:rsidRPr="00D55E3B">
        <w:rPr>
          <w:rFonts w:ascii="Arial" w:hAnsi="Arial" w:cs="Arial"/>
        </w:rPr>
        <w:lastRenderedPageBreak/>
        <w:t>about the soul, which lay an unavoidable bait for such as have once had a taste of their philosophy.”</w:t>
      </w:r>
      <w:r w:rsidRPr="00D55E3B">
        <w:rPr>
          <w:rStyle w:val="FootnoteReference"/>
          <w:rFonts w:ascii="Arial" w:hAnsi="Arial" w:cs="Arial"/>
        </w:rPr>
        <w:footnoteReference w:id="2"/>
      </w:r>
      <w:r w:rsidRPr="00D55E3B">
        <w:rPr>
          <w:rFonts w:ascii="Arial" w:hAnsi="Arial" w:cs="Arial"/>
        </w:rPr>
        <w:t xml:space="preserve"> </w:t>
      </w:r>
    </w:p>
    <w:p w14:paraId="1929993F" w14:textId="77777777" w:rsidR="0098077D" w:rsidRPr="00D55E3B" w:rsidRDefault="0098077D" w:rsidP="0098077D">
      <w:pPr>
        <w:rPr>
          <w:rFonts w:ascii="Arial" w:hAnsi="Arial" w:cs="Arial"/>
        </w:rPr>
      </w:pPr>
    </w:p>
    <w:p w14:paraId="6BE8BE01" w14:textId="77777777" w:rsidR="0098077D" w:rsidRPr="00D55E3B" w:rsidRDefault="0098077D" w:rsidP="0098077D">
      <w:pPr>
        <w:spacing w:line="360" w:lineRule="auto"/>
        <w:rPr>
          <w:rFonts w:ascii="Arial" w:hAnsi="Arial" w:cs="Arial"/>
        </w:rPr>
      </w:pPr>
      <w:r w:rsidRPr="00D55E3B">
        <w:rPr>
          <w:rFonts w:ascii="Arial" w:hAnsi="Arial" w:cs="Arial"/>
        </w:rPr>
        <w:t xml:space="preserve">Evidently, not all Jews shared this understanding regarding death. In his voluminous work, </w:t>
      </w:r>
      <w:r w:rsidRPr="00D55E3B">
        <w:rPr>
          <w:rFonts w:ascii="Arial" w:hAnsi="Arial" w:cs="Arial"/>
          <w:i/>
          <w:iCs/>
        </w:rPr>
        <w:t>The Conditionalist Faith of Our Fathers</w:t>
      </w:r>
      <w:r w:rsidRPr="00D55E3B">
        <w:rPr>
          <w:rFonts w:ascii="Arial" w:hAnsi="Arial" w:cs="Arial"/>
        </w:rPr>
        <w:t>, Leroy Froom traces the history of various understandings of what happens after death among Jews, Christians</w:t>
      </w:r>
      <w:r>
        <w:rPr>
          <w:rFonts w:ascii="Arial" w:hAnsi="Arial" w:cs="Arial"/>
        </w:rPr>
        <w:t>,</w:t>
      </w:r>
      <w:r w:rsidRPr="00D55E3B">
        <w:rPr>
          <w:rFonts w:ascii="Arial" w:hAnsi="Arial" w:cs="Arial"/>
        </w:rPr>
        <w:t xml:space="preserve"> and pagans. He describes in detail how some Jews (like the ones mentioned above) adopted a Greek understanding of death. But he also reveals that not all Jews in the intertestamental period or even at the time of Jesus and the apostles bought into this Greek theory.</w:t>
      </w:r>
      <w:r w:rsidRPr="00D55E3B">
        <w:rPr>
          <w:rStyle w:val="FootnoteReference"/>
          <w:rFonts w:ascii="Arial" w:hAnsi="Arial" w:cs="Arial"/>
        </w:rPr>
        <w:footnoteReference w:id="3"/>
      </w:r>
    </w:p>
    <w:p w14:paraId="5ACE2E70" w14:textId="77777777" w:rsidR="0098077D" w:rsidRPr="00D55E3B" w:rsidRDefault="0098077D" w:rsidP="0098077D">
      <w:pPr>
        <w:spacing w:line="360" w:lineRule="auto"/>
        <w:rPr>
          <w:rFonts w:ascii="Arial" w:hAnsi="Arial" w:cs="Arial"/>
        </w:rPr>
      </w:pPr>
    </w:p>
    <w:p w14:paraId="32D8651E" w14:textId="548FD8AC" w:rsidR="0098077D" w:rsidRPr="00D55E3B" w:rsidRDefault="0098077D" w:rsidP="0098077D">
      <w:pPr>
        <w:spacing w:line="360" w:lineRule="auto"/>
        <w:rPr>
          <w:rFonts w:ascii="Arial" w:hAnsi="Arial" w:cs="Arial"/>
        </w:rPr>
      </w:pPr>
      <w:r w:rsidRPr="00D55E3B">
        <w:rPr>
          <w:rFonts w:ascii="Arial" w:hAnsi="Arial" w:cs="Arial"/>
        </w:rPr>
        <w:t>What is the Greek understanding of death? As</w:t>
      </w:r>
      <w:r>
        <w:rPr>
          <w:rFonts w:ascii="Arial" w:hAnsi="Arial" w:cs="Arial"/>
        </w:rPr>
        <w:t xml:space="preserve"> with</w:t>
      </w:r>
      <w:r w:rsidRPr="00D55E3B">
        <w:rPr>
          <w:rFonts w:ascii="Arial" w:hAnsi="Arial" w:cs="Arial"/>
        </w:rPr>
        <w:t xml:space="preserve"> most </w:t>
      </w:r>
      <w:r>
        <w:rPr>
          <w:rFonts w:ascii="Arial" w:hAnsi="Arial" w:cs="Arial"/>
        </w:rPr>
        <w:t>pagan</w:t>
      </w:r>
      <w:r w:rsidRPr="00D55E3B">
        <w:rPr>
          <w:rFonts w:ascii="Arial" w:hAnsi="Arial" w:cs="Arial"/>
        </w:rPr>
        <w:t xml:space="preserve"> peoples, the Greeks believed that death is not really death but that there is a part of a person that lives on after death. As different schools of philosophy were started by the Greeks, various understandings of death also began to emerge. The one that had the greatest impact on Western thought, modern Christian, Jewish, and Muslim teaching</w:t>
      </w:r>
      <w:r>
        <w:rPr>
          <w:rFonts w:ascii="Arial" w:hAnsi="Arial" w:cs="Arial"/>
        </w:rPr>
        <w:t>,</w:t>
      </w:r>
      <w:r w:rsidRPr="00D55E3B">
        <w:rPr>
          <w:rFonts w:ascii="Arial" w:hAnsi="Arial" w:cs="Arial"/>
        </w:rPr>
        <w:t xml:space="preserve"> was the philosophy of Plato.</w:t>
      </w:r>
      <w:r w:rsidRPr="00D55E3B">
        <w:rPr>
          <w:rFonts w:ascii="Arial" w:hAnsi="Arial" w:cs="Arial"/>
        </w:rPr>
        <w:br/>
      </w:r>
    </w:p>
    <w:p w14:paraId="32ABEEFD" w14:textId="77777777" w:rsidR="0098077D" w:rsidRDefault="0098077D" w:rsidP="0098077D">
      <w:pPr>
        <w:spacing w:line="360" w:lineRule="auto"/>
        <w:rPr>
          <w:rFonts w:ascii="Arial" w:hAnsi="Arial" w:cs="Arial"/>
          <w:color w:val="000000"/>
          <w:shd w:val="clear" w:color="auto" w:fill="FFFFFF"/>
        </w:rPr>
      </w:pPr>
      <w:r w:rsidRPr="00D55E3B">
        <w:rPr>
          <w:rFonts w:ascii="Arial" w:hAnsi="Arial" w:cs="Arial"/>
        </w:rPr>
        <w:t>Plato is so influential in Western thought that one modern philosopher summed up his importance in these words: “The safest general characterization of the European philosophical tradition is that it consists of a series of footnotes to Plato.”</w:t>
      </w:r>
      <w:r w:rsidRPr="00D55E3B">
        <w:rPr>
          <w:rStyle w:val="FootnoteReference"/>
          <w:rFonts w:ascii="Arial" w:hAnsi="Arial" w:cs="Arial"/>
        </w:rPr>
        <w:footnoteReference w:id="4"/>
      </w:r>
      <w:r w:rsidRPr="00D55E3B">
        <w:rPr>
          <w:rFonts w:ascii="Arial" w:hAnsi="Arial" w:cs="Arial"/>
        </w:rPr>
        <w:t xml:space="preserve"> Similarly exalting things are said of Plato for his contribution to Islam: “</w:t>
      </w:r>
      <w:r w:rsidRPr="00D55E3B">
        <w:rPr>
          <w:rFonts w:ascii="Arial" w:hAnsi="Arial" w:cs="Arial"/>
          <w:color w:val="000000"/>
          <w:shd w:val="clear" w:color="auto" w:fill="FFFFFF"/>
        </w:rPr>
        <w:t>Mahometanism draws all its philosophy, in its hand-book of morals, the Akhlak-y-Jalaly,</w:t>
      </w:r>
      <w:bookmarkStart w:id="0" w:name="N99904.P312N3"/>
      <w:bookmarkEnd w:id="0"/>
      <w:r w:rsidRPr="00D55E3B">
        <w:rPr>
          <w:rFonts w:ascii="Arial" w:hAnsi="Arial" w:cs="Arial"/>
          <w:color w:val="000000"/>
          <w:shd w:val="clear" w:color="auto" w:fill="FFFFFF"/>
        </w:rPr>
        <w:t xml:space="preserve"> from him (Plato).”</w:t>
      </w:r>
      <w:r w:rsidRPr="00D55E3B">
        <w:rPr>
          <w:rStyle w:val="FootnoteReference"/>
          <w:rFonts w:ascii="Arial" w:hAnsi="Arial" w:cs="Arial"/>
          <w:color w:val="000000"/>
          <w:shd w:val="clear" w:color="auto" w:fill="FFFFFF"/>
        </w:rPr>
        <w:footnoteReference w:id="5"/>
      </w:r>
      <w:r w:rsidRPr="00D55E3B">
        <w:rPr>
          <w:rFonts w:ascii="Arial" w:hAnsi="Arial" w:cs="Arial"/>
          <w:color w:val="000000"/>
          <w:shd w:val="clear" w:color="auto" w:fill="FFFFFF"/>
        </w:rPr>
        <w:t xml:space="preserve"> On the topic of death, Plato has left his mark in</w:t>
      </w:r>
      <w:r>
        <w:rPr>
          <w:rFonts w:ascii="Arial" w:hAnsi="Arial" w:cs="Arial"/>
          <w:color w:val="000000"/>
          <w:shd w:val="clear" w:color="auto" w:fill="FFFFFF"/>
        </w:rPr>
        <w:t xml:space="preserve"> all three Abrahamic faiths but</w:t>
      </w:r>
      <w:r w:rsidRPr="00D55E3B">
        <w:rPr>
          <w:rFonts w:ascii="Arial" w:hAnsi="Arial" w:cs="Arial"/>
          <w:color w:val="000000"/>
          <w:shd w:val="clear" w:color="auto" w:fill="FFFFFF"/>
        </w:rPr>
        <w:t xml:space="preserve"> especially within Christianity.</w:t>
      </w:r>
      <w:r>
        <w:rPr>
          <w:rFonts w:ascii="Arial" w:hAnsi="Arial" w:cs="Arial"/>
          <w:color w:val="000000"/>
          <w:shd w:val="clear" w:color="auto" w:fill="FFFFFF"/>
        </w:rPr>
        <w:t xml:space="preserve"> </w:t>
      </w:r>
      <w:r w:rsidRPr="00D55E3B">
        <w:rPr>
          <w:rFonts w:ascii="Arial" w:hAnsi="Arial" w:cs="Arial"/>
          <w:color w:val="000000"/>
          <w:shd w:val="clear" w:color="auto" w:fill="FFFFFF"/>
        </w:rPr>
        <w:br/>
      </w:r>
      <w:r w:rsidRPr="00D55E3B">
        <w:rPr>
          <w:rFonts w:ascii="Arial" w:hAnsi="Arial" w:cs="Arial"/>
          <w:color w:val="000000"/>
          <w:shd w:val="clear" w:color="auto" w:fill="FFFFFF"/>
        </w:rPr>
        <w:br/>
        <w:t xml:space="preserve">What did Plato teach about death? </w:t>
      </w:r>
      <w:r>
        <w:rPr>
          <w:rFonts w:ascii="Arial" w:hAnsi="Arial" w:cs="Arial"/>
          <w:color w:val="000000"/>
          <w:shd w:val="clear" w:color="auto" w:fill="FFFFFF"/>
        </w:rPr>
        <w:t xml:space="preserve">Plato synthesized earlier pagan concepts from Greek philosophy and mythology regarding the soul. He taught that the form of this world is imperfect, but that it is a shadow of the form of a perfect world. So, all that we </w:t>
      </w:r>
      <w:r>
        <w:rPr>
          <w:rFonts w:ascii="Arial" w:hAnsi="Arial" w:cs="Arial"/>
          <w:color w:val="000000"/>
          <w:shd w:val="clear" w:color="auto" w:fill="FFFFFF"/>
        </w:rPr>
        <w:lastRenderedPageBreak/>
        <w:t>see here has a perfect counterpart. In relation to humanity, the imperfect body has a perfect counterpart—the soul. While inhabiting the imperfect body, the soul is contaminated, but through reason the soul can remember its pure state and long to return to it one day. Even though the soul is contaminated by being imprisoned in our corruptible bodies, yet when freed from the body in the realm of true forms it is perfect—</w:t>
      </w:r>
    </w:p>
    <w:p w14:paraId="08FC3781" w14:textId="77777777" w:rsidR="0098077D" w:rsidRDefault="0098077D" w:rsidP="0098077D">
      <w:pPr>
        <w:spacing w:line="360" w:lineRule="auto"/>
        <w:rPr>
          <w:rFonts w:ascii="Arial" w:hAnsi="Arial" w:cs="Arial"/>
          <w:color w:val="000000"/>
          <w:shd w:val="clear" w:color="auto" w:fill="FFFFFF"/>
        </w:rPr>
      </w:pPr>
      <w:r>
        <w:rPr>
          <w:rFonts w:ascii="Arial" w:hAnsi="Arial" w:cs="Arial"/>
          <w:color w:val="000000"/>
          <w:shd w:val="clear" w:color="auto" w:fill="FFFFFF"/>
        </w:rPr>
        <w:t>it is inherently immortal—incapable of being destroyed and has always been and will always be. Thus, the soul can “migrate” from body to body until it finds its way back to the realm of pure forms.</w:t>
      </w:r>
      <w:r>
        <w:rPr>
          <w:rFonts w:ascii="Arial" w:hAnsi="Arial" w:cs="Arial"/>
          <w:color w:val="000000"/>
          <w:shd w:val="clear" w:color="auto" w:fill="FFFFFF"/>
        </w:rPr>
        <w:br/>
      </w:r>
      <w:r>
        <w:rPr>
          <w:rFonts w:ascii="Arial" w:hAnsi="Arial" w:cs="Arial"/>
          <w:color w:val="000000"/>
          <w:shd w:val="clear" w:color="auto" w:fill="FFFFFF"/>
        </w:rPr>
        <w:br/>
        <w:t>Most within Christianity, Islam and the majority of Judaism rejected the idea of an eternal soul from the past that can reincarnate from body to body</w:t>
      </w:r>
      <w:r>
        <w:rPr>
          <w:rStyle w:val="FootnoteReference"/>
          <w:rFonts w:ascii="Arial" w:hAnsi="Arial" w:cs="Arial"/>
          <w:color w:val="000000"/>
          <w:shd w:val="clear" w:color="auto" w:fill="FFFFFF"/>
        </w:rPr>
        <w:footnoteReference w:id="6"/>
      </w:r>
      <w:r>
        <w:rPr>
          <w:rFonts w:ascii="Arial" w:hAnsi="Arial" w:cs="Arial"/>
          <w:color w:val="000000"/>
          <w:shd w:val="clear" w:color="auto" w:fill="FFFFFF"/>
        </w:rPr>
        <w:t>, but most gradually accepted the notion of an immortal soul that will live eternally in the future in either Heaven or Hell.</w:t>
      </w:r>
    </w:p>
    <w:p w14:paraId="4EEA104D" w14:textId="77777777" w:rsidR="0098077D" w:rsidRDefault="0098077D" w:rsidP="0098077D">
      <w:pPr>
        <w:spacing w:line="360" w:lineRule="auto"/>
        <w:rPr>
          <w:rFonts w:ascii="Arial" w:hAnsi="Arial" w:cs="Arial"/>
          <w:color w:val="000000"/>
          <w:shd w:val="clear" w:color="auto" w:fill="FFFFFF"/>
        </w:rPr>
      </w:pPr>
    </w:p>
    <w:p w14:paraId="04803BE8" w14:textId="77777777" w:rsidR="0098077D" w:rsidRPr="00D16B69" w:rsidRDefault="0098077D" w:rsidP="0098077D">
      <w:pPr>
        <w:spacing w:line="360" w:lineRule="auto"/>
        <w:rPr>
          <w:rFonts w:ascii="Arial" w:hAnsi="Arial" w:cs="Arial"/>
          <w:iCs/>
          <w:color w:val="000000"/>
          <w:shd w:val="clear" w:color="auto" w:fill="FFFFFF"/>
        </w:rPr>
      </w:pPr>
      <w:r>
        <w:rPr>
          <w:rFonts w:ascii="Arial" w:hAnsi="Arial" w:cs="Arial"/>
          <w:color w:val="000000"/>
          <w:shd w:val="clear" w:color="auto" w:fill="FFFFFF"/>
        </w:rPr>
        <w:t>This is in spite of the fact that the Bible clearly teaches that God is the only one who inherently has immortality.</w:t>
      </w:r>
      <w:r>
        <w:rPr>
          <w:rStyle w:val="FootnoteReference"/>
          <w:rFonts w:ascii="Arial" w:hAnsi="Arial" w:cs="Arial"/>
          <w:color w:val="000000"/>
          <w:shd w:val="clear" w:color="auto" w:fill="FFFFFF"/>
        </w:rPr>
        <w:footnoteReference w:id="7"/>
      </w:r>
      <w:r>
        <w:rPr>
          <w:rFonts w:ascii="Arial" w:hAnsi="Arial" w:cs="Arial"/>
          <w:color w:val="000000"/>
          <w:shd w:val="clear" w:color="auto" w:fill="FFFFFF"/>
        </w:rPr>
        <w:t xml:space="preserve"> There are no Scriptural references to indicate that humanity has something in its nature that is indestructible or that the soul has a separate existence from the body. The Bible clearly says that the soul can die.</w:t>
      </w:r>
      <w:r>
        <w:rPr>
          <w:rStyle w:val="FootnoteReference"/>
          <w:rFonts w:ascii="Arial" w:hAnsi="Arial" w:cs="Arial"/>
          <w:color w:val="000000"/>
          <w:shd w:val="clear" w:color="auto" w:fill="FFFFFF"/>
        </w:rPr>
        <w:footnoteReference w:id="8"/>
      </w:r>
      <w:r>
        <w:rPr>
          <w:rFonts w:ascii="Arial" w:hAnsi="Arial" w:cs="Arial"/>
          <w:color w:val="000000"/>
          <w:shd w:val="clear" w:color="auto" w:fill="FFFFFF"/>
        </w:rPr>
        <w:t xml:space="preserve"> As a matter of fact, the Hebrew word “Nephesh” commonly translated as “soul” is also used to refer to dead bodies.</w:t>
      </w:r>
      <w:r>
        <w:rPr>
          <w:rStyle w:val="FootnoteReference"/>
          <w:rFonts w:ascii="Arial" w:hAnsi="Arial" w:cs="Arial"/>
          <w:color w:val="000000"/>
          <w:shd w:val="clear" w:color="auto" w:fill="FFFFFF"/>
        </w:rPr>
        <w:footnoteReference w:id="9"/>
      </w:r>
      <w:r>
        <w:rPr>
          <w:rFonts w:ascii="Arial" w:hAnsi="Arial" w:cs="Arial"/>
          <w:color w:val="000000"/>
          <w:shd w:val="clear" w:color="auto" w:fill="FFFFFF"/>
        </w:rPr>
        <w:t xml:space="preserve"> This is why when God first created Adam, He breathed into his nostrils the breath of life and man </w:t>
      </w:r>
      <w:r>
        <w:rPr>
          <w:rFonts w:ascii="Arial" w:hAnsi="Arial" w:cs="Arial"/>
          <w:i/>
          <w:iCs/>
          <w:color w:val="000000"/>
          <w:shd w:val="clear" w:color="auto" w:fill="FFFFFF"/>
        </w:rPr>
        <w:t xml:space="preserve">became </w:t>
      </w:r>
      <w:r>
        <w:rPr>
          <w:rFonts w:ascii="Arial" w:hAnsi="Arial" w:cs="Arial"/>
          <w:color w:val="000000"/>
          <w:shd w:val="clear" w:color="auto" w:fill="FFFFFF"/>
        </w:rPr>
        <w:t xml:space="preserve">a </w:t>
      </w:r>
      <w:r>
        <w:rPr>
          <w:rFonts w:ascii="Arial" w:hAnsi="Arial" w:cs="Arial"/>
          <w:i/>
          <w:iCs/>
          <w:color w:val="000000"/>
          <w:shd w:val="clear" w:color="auto" w:fill="FFFFFF"/>
        </w:rPr>
        <w:t xml:space="preserve">living </w:t>
      </w:r>
      <w:r>
        <w:rPr>
          <w:rFonts w:ascii="Arial" w:hAnsi="Arial" w:cs="Arial"/>
          <w:iCs/>
          <w:color w:val="000000"/>
          <w:shd w:val="clear" w:color="auto" w:fill="FFFFFF"/>
        </w:rPr>
        <w:t>soul (Hebrew: nephesh khaya)</w:t>
      </w:r>
    </w:p>
    <w:p w14:paraId="4686F644" w14:textId="77777777" w:rsidR="0098077D" w:rsidRDefault="0098077D" w:rsidP="0098077D">
      <w:pPr>
        <w:spacing w:line="360" w:lineRule="auto"/>
        <w:rPr>
          <w:rFonts w:ascii="Arial" w:hAnsi="Arial" w:cs="Arial"/>
        </w:rPr>
      </w:pPr>
    </w:p>
    <w:p w14:paraId="42A27761" w14:textId="5AD26445" w:rsidR="0098077D" w:rsidRDefault="0098077D" w:rsidP="0098077D">
      <w:pPr>
        <w:spacing w:line="360" w:lineRule="auto"/>
        <w:rPr>
          <w:rFonts w:ascii="Arial" w:hAnsi="Arial" w:cs="Arial"/>
        </w:rPr>
      </w:pPr>
      <w:r>
        <w:rPr>
          <w:rFonts w:ascii="Arial" w:hAnsi="Arial" w:cs="Arial"/>
        </w:rPr>
        <w:lastRenderedPageBreak/>
        <w:t xml:space="preserve">So, how did the Platonic theory of the inherent immortality of the soul become considered orthodox teaching in all three major Abrahamic faiths? In the paper, Origins of Sunday Worship and </w:t>
      </w:r>
      <w:r w:rsidR="005C05E7">
        <w:rPr>
          <w:rFonts w:ascii="Arial" w:hAnsi="Arial" w:cs="Arial"/>
        </w:rPr>
        <w:t>the Great Falling Away,</w:t>
      </w:r>
      <w:r>
        <w:rPr>
          <w:rFonts w:ascii="Arial" w:hAnsi="Arial" w:cs="Arial"/>
        </w:rPr>
        <w:t xml:space="preserve"> we examined the Hellenization of Judaism and Christianity. </w:t>
      </w:r>
      <w:r w:rsidR="005C05E7">
        <w:rPr>
          <w:rFonts w:ascii="Arial" w:hAnsi="Arial" w:cs="Arial"/>
        </w:rPr>
        <w:t>As the result, Greek philosophy, in particular the Platonic teaching of the immortal soul, became accepted by many Jews and early Christians.</w:t>
      </w:r>
    </w:p>
    <w:p w14:paraId="6DCA948F" w14:textId="77777777" w:rsidR="0098077D" w:rsidRDefault="0098077D" w:rsidP="0098077D">
      <w:pPr>
        <w:spacing w:line="360" w:lineRule="auto"/>
        <w:rPr>
          <w:rFonts w:ascii="Arial" w:hAnsi="Arial" w:cs="Arial"/>
        </w:rPr>
      </w:pPr>
    </w:p>
    <w:p w14:paraId="0FB2275D" w14:textId="00E9718C" w:rsidR="0098077D" w:rsidRPr="00383F38" w:rsidRDefault="005C05E7" w:rsidP="0098077D">
      <w:pPr>
        <w:spacing w:line="360" w:lineRule="auto"/>
        <w:rPr>
          <w:rFonts w:ascii="Arial" w:hAnsi="Arial" w:cs="Arial"/>
        </w:rPr>
      </w:pPr>
      <w:r>
        <w:rPr>
          <w:rFonts w:ascii="Arial" w:hAnsi="Arial" w:cs="Arial"/>
        </w:rPr>
        <w:t>N</w:t>
      </w:r>
      <w:r w:rsidR="0098077D">
        <w:rPr>
          <w:rFonts w:ascii="Arial" w:hAnsi="Arial" w:cs="Arial"/>
        </w:rPr>
        <w:t>otice</w:t>
      </w:r>
      <w:r>
        <w:rPr>
          <w:rFonts w:ascii="Arial" w:hAnsi="Arial" w:cs="Arial"/>
        </w:rPr>
        <w:t xml:space="preserve"> the clear references to immortality as taught in the apocryphal book of</w:t>
      </w:r>
      <w:r w:rsidR="0098077D">
        <w:rPr>
          <w:rFonts w:ascii="Arial" w:hAnsi="Arial" w:cs="Arial"/>
        </w:rPr>
        <w:t xml:space="preserve"> 4 Maccabees:</w:t>
      </w:r>
      <w:r w:rsidR="0098077D">
        <w:rPr>
          <w:rFonts w:ascii="Arial" w:hAnsi="Arial" w:cs="Arial"/>
        </w:rPr>
        <w:br/>
      </w:r>
    </w:p>
    <w:p w14:paraId="409CE68A" w14:textId="77777777" w:rsidR="0098077D" w:rsidRDefault="0098077D" w:rsidP="0098077D">
      <w:pPr>
        <w:spacing w:line="360" w:lineRule="auto"/>
        <w:ind w:left="720"/>
        <w:rPr>
          <w:rFonts w:ascii="Arial" w:hAnsi="Arial" w:cs="Arial"/>
        </w:rPr>
      </w:pPr>
      <w:r w:rsidRPr="00383F38">
        <w:rPr>
          <w:rFonts w:ascii="Arial" w:hAnsi="Arial" w:cs="Arial"/>
        </w:rPr>
        <w:t xml:space="preserve">Although the ligaments joining his bones were already severed, the courageous </w:t>
      </w:r>
      <w:r>
        <w:rPr>
          <w:rFonts w:ascii="Arial" w:hAnsi="Arial" w:cs="Arial"/>
        </w:rPr>
        <w:t xml:space="preserve"> </w:t>
      </w:r>
      <w:r w:rsidRPr="00383F38">
        <w:rPr>
          <w:rFonts w:ascii="Arial" w:hAnsi="Arial" w:cs="Arial"/>
        </w:rPr>
        <w:t>youth, worthy of Abraham, did not groan,</w:t>
      </w:r>
      <w:r>
        <w:rPr>
          <w:rFonts w:ascii="Arial" w:hAnsi="Arial" w:cs="Arial"/>
        </w:rPr>
        <w:t xml:space="preserve"> </w:t>
      </w:r>
      <w:r w:rsidRPr="00383F38">
        <w:rPr>
          <w:rFonts w:ascii="Arial" w:hAnsi="Arial" w:cs="Arial"/>
        </w:rPr>
        <w:t>But as though transformed by fire into immortality, he nobly endured the rackings.</w:t>
      </w:r>
      <w:r>
        <w:rPr>
          <w:rStyle w:val="FootnoteReference"/>
          <w:rFonts w:ascii="Arial" w:hAnsi="Arial" w:cs="Arial"/>
        </w:rPr>
        <w:footnoteReference w:id="10"/>
      </w:r>
      <w:r>
        <w:rPr>
          <w:rFonts w:ascii="Arial" w:hAnsi="Arial" w:cs="Arial"/>
        </w:rPr>
        <w:br/>
      </w:r>
      <w:r>
        <w:rPr>
          <w:rFonts w:ascii="Arial" w:hAnsi="Arial" w:cs="Arial"/>
        </w:rPr>
        <w:br/>
      </w:r>
      <w:r w:rsidRPr="00383F38">
        <w:rPr>
          <w:rFonts w:ascii="Arial" w:hAnsi="Arial" w:cs="Arial"/>
        </w:rPr>
        <w:t>But the sons of Abraham, with their victorious mother, are gathered together into the chorus of the fathers, and have received pure and immortal souls from God</w:t>
      </w:r>
      <w:r>
        <w:rPr>
          <w:rFonts w:ascii="Arial" w:hAnsi="Arial" w:cs="Arial"/>
        </w:rPr>
        <w:t>.</w:t>
      </w:r>
      <w:r>
        <w:rPr>
          <w:rStyle w:val="FootnoteReference"/>
          <w:rFonts w:ascii="Arial" w:hAnsi="Arial" w:cs="Arial"/>
        </w:rPr>
        <w:footnoteReference w:id="11"/>
      </w:r>
    </w:p>
    <w:p w14:paraId="5E45081C" w14:textId="77777777" w:rsidR="0098077D" w:rsidRPr="00D55E3B" w:rsidRDefault="0098077D" w:rsidP="0098077D">
      <w:pPr>
        <w:spacing w:line="360" w:lineRule="auto"/>
        <w:ind w:left="720"/>
        <w:rPr>
          <w:rFonts w:ascii="Arial" w:hAnsi="Arial" w:cs="Arial"/>
        </w:rPr>
      </w:pPr>
    </w:p>
    <w:p w14:paraId="1954FB0F" w14:textId="77777777" w:rsidR="0098077D" w:rsidRDefault="0098077D" w:rsidP="0098077D">
      <w:pPr>
        <w:spacing w:line="360" w:lineRule="auto"/>
        <w:rPr>
          <w:rFonts w:ascii="Arial" w:hAnsi="Arial" w:cs="Arial"/>
        </w:rPr>
      </w:pPr>
      <w:r>
        <w:rPr>
          <w:rFonts w:ascii="Arial" w:hAnsi="Arial" w:cs="Arial"/>
        </w:rPr>
        <w:t>Fourth Maccabees appears to skip the resurrection for the promise of immortality, and instead promises it immediately upon death.</w:t>
      </w:r>
      <w:r>
        <w:rPr>
          <w:rStyle w:val="FootnoteReference"/>
          <w:rFonts w:ascii="Arial" w:hAnsi="Arial" w:cs="Arial"/>
        </w:rPr>
        <w:footnoteReference w:id="12"/>
      </w:r>
      <w:r>
        <w:rPr>
          <w:rFonts w:ascii="Arial" w:hAnsi="Arial" w:cs="Arial"/>
        </w:rPr>
        <w:t xml:space="preserve"> What need would there be for a resurrection if immortality is immediately available to the soul upon death? This is an obvious departure from Biblical teachings on the soul, death, and resurrection. Even though this theology is clearly in 4 Maccabees, most early Christians did not believe in inherent immortality, or the soul having a separate existence from the body. </w:t>
      </w:r>
      <w:r>
        <w:rPr>
          <w:rFonts w:ascii="Arial" w:hAnsi="Arial" w:cs="Arial"/>
        </w:rPr>
        <w:br/>
      </w:r>
    </w:p>
    <w:p w14:paraId="6C301C9A" w14:textId="77777777" w:rsidR="0098077D" w:rsidRDefault="0098077D" w:rsidP="0098077D">
      <w:pPr>
        <w:spacing w:line="360" w:lineRule="auto"/>
        <w:rPr>
          <w:rFonts w:ascii="Arial" w:hAnsi="Arial" w:cs="Arial"/>
        </w:rPr>
      </w:pPr>
      <w:r>
        <w:rPr>
          <w:rFonts w:ascii="Arial" w:hAnsi="Arial" w:cs="Arial"/>
        </w:rPr>
        <w:t xml:space="preserve">Polycarp was a disciple of John the Beloved. He was ordained by John to be the bishop of the church at Smyrna. He is most famous for being an exemplar Christian martyr. The church at Smyrna wrote a letter about his martyrdom. This epistle is a typical </w:t>
      </w:r>
      <w:r>
        <w:rPr>
          <w:rFonts w:ascii="Arial" w:hAnsi="Arial" w:cs="Arial"/>
        </w:rPr>
        <w:lastRenderedPageBreak/>
        <w:t xml:space="preserve">example of the early Christian’s hope in and emphasis of the resurrection. There is no hope of Polycarp’s soul releasing upon death to immediately be in the </w:t>
      </w:r>
    </w:p>
    <w:p w14:paraId="0CC63BF5" w14:textId="77777777" w:rsidR="0098077D" w:rsidRDefault="0098077D" w:rsidP="0098077D">
      <w:pPr>
        <w:spacing w:line="360" w:lineRule="auto"/>
        <w:rPr>
          <w:rFonts w:ascii="Arial" w:hAnsi="Arial" w:cs="Arial"/>
        </w:rPr>
      </w:pPr>
      <w:r>
        <w:rPr>
          <w:rFonts w:ascii="Arial" w:hAnsi="Arial" w:cs="Arial"/>
        </w:rPr>
        <w:t>presence of God. There are no mentions of comfort to fellow believers because Polycarp’s soul had departed to be with God. The whole hope of the epistle was in the resurrection, not only of the body, but of the soul:</w:t>
      </w:r>
    </w:p>
    <w:p w14:paraId="2BF6CACC" w14:textId="77777777" w:rsidR="0098077D" w:rsidRPr="00710FB1" w:rsidRDefault="0098077D" w:rsidP="0098077D">
      <w:pPr>
        <w:spacing w:line="360" w:lineRule="auto"/>
        <w:ind w:left="720"/>
        <w:rPr>
          <w:rFonts w:ascii="Arial" w:hAnsi="Arial" w:cs="Arial"/>
        </w:rPr>
      </w:pPr>
      <w:r>
        <w:rPr>
          <w:rFonts w:ascii="Arial" w:hAnsi="Arial" w:cs="Arial"/>
        </w:rPr>
        <w:br/>
      </w:r>
      <w:r w:rsidRPr="00710FB1">
        <w:rPr>
          <w:rFonts w:ascii="Arial" w:hAnsi="Arial" w:cs="Arial"/>
        </w:rPr>
        <w:t>I bless You because You have granted me this day and hour, that I might receive a portion amongst the number of martyrs in the cup of Your Christ unto resurrection of eternal life, both of soul and of body, in the incorruptibility of the Holy Spirit.</w:t>
      </w:r>
      <w:r w:rsidRPr="00710FB1">
        <w:rPr>
          <w:rStyle w:val="FootnoteReference"/>
          <w:rFonts w:ascii="Arial" w:hAnsi="Arial" w:cs="Arial"/>
        </w:rPr>
        <w:footnoteReference w:id="13"/>
      </w:r>
    </w:p>
    <w:p w14:paraId="35CEAEB4" w14:textId="77777777" w:rsidR="0098077D" w:rsidRDefault="0098077D" w:rsidP="0098077D">
      <w:pPr>
        <w:spacing w:line="360" w:lineRule="auto"/>
        <w:rPr>
          <w:rFonts w:ascii="Arial" w:hAnsi="Arial" w:cs="Arial"/>
        </w:rPr>
      </w:pPr>
      <w:r>
        <w:rPr>
          <w:rFonts w:ascii="Arial" w:hAnsi="Arial" w:cs="Arial"/>
        </w:rPr>
        <w:br/>
        <w:t xml:space="preserve">Rather than the soul having innate immortality, it needs to be resurrected just like the body does. </w:t>
      </w:r>
    </w:p>
    <w:p w14:paraId="55110AE1" w14:textId="77777777" w:rsidR="0098077D" w:rsidRDefault="0098077D" w:rsidP="0098077D">
      <w:pPr>
        <w:spacing w:line="360" w:lineRule="auto"/>
        <w:rPr>
          <w:rFonts w:ascii="Arial" w:hAnsi="Arial" w:cs="Arial"/>
        </w:rPr>
      </w:pPr>
    </w:p>
    <w:p w14:paraId="09DB2B44" w14:textId="68982630" w:rsidR="0098077D" w:rsidRDefault="0098077D" w:rsidP="0098077D">
      <w:pPr>
        <w:spacing w:line="360" w:lineRule="auto"/>
        <w:rPr>
          <w:rFonts w:ascii="Arial" w:hAnsi="Arial" w:cs="Arial"/>
        </w:rPr>
      </w:pPr>
      <w:r>
        <w:rPr>
          <w:rFonts w:ascii="Arial" w:hAnsi="Arial" w:cs="Arial"/>
        </w:rPr>
        <w:t xml:space="preserve">In the paper dealing with the abandonment of the Sabbath, </w:t>
      </w:r>
      <w:r w:rsidR="005C05E7">
        <w:rPr>
          <w:rFonts w:ascii="Arial" w:hAnsi="Arial" w:cs="Arial"/>
        </w:rPr>
        <w:t xml:space="preserve">Origins of Sunday Worship and the Great Falling Away, </w:t>
      </w:r>
      <w:r>
        <w:rPr>
          <w:rFonts w:ascii="Arial" w:hAnsi="Arial" w:cs="Arial"/>
        </w:rPr>
        <w:t>Justin Martyr imbibed antisemitic teachings that lead him to shun anything that might appear Jewish, which included the Bible Sabbath. Though Justin Martyr embraced these falsehoods and had an extensive education in Greek philosophy, and knew of the Platonic theory of the innate immortality of the soul, yet he very clearly rejected Plato’s assumptions regarding the soul and death:</w:t>
      </w:r>
    </w:p>
    <w:p w14:paraId="381774CB" w14:textId="77777777" w:rsidR="0098077D" w:rsidRPr="00F837A2" w:rsidRDefault="0098077D" w:rsidP="0098077D">
      <w:pPr>
        <w:spacing w:line="360" w:lineRule="auto"/>
        <w:ind w:left="720"/>
        <w:rPr>
          <w:rFonts w:ascii="Arial" w:hAnsi="Arial" w:cs="Arial"/>
        </w:rPr>
      </w:pPr>
      <w:r w:rsidRPr="00F837A2">
        <w:rPr>
          <w:rFonts w:ascii="Arial" w:hAnsi="Arial" w:cs="Arial"/>
        </w:rPr>
        <w:br/>
        <w:t>For those things which exist after </w:t>
      </w:r>
      <w:hyperlink r:id="rId6" w:history="1">
        <w:r w:rsidRPr="00F837A2">
          <w:rPr>
            <w:rStyle w:val="Hyperlink"/>
            <w:rFonts w:ascii="Arial" w:hAnsi="Arial" w:cs="Arial"/>
            <w:color w:val="auto"/>
            <w:u w:val="none"/>
          </w:rPr>
          <w:t>God</w:t>
        </w:r>
      </w:hyperlink>
      <w:r w:rsidRPr="00F837A2">
        <w:rPr>
          <w:rFonts w:ascii="Arial" w:hAnsi="Arial" w:cs="Arial"/>
        </w:rPr>
        <w:t>, or shall at any time exist, these have the </w:t>
      </w:r>
      <w:hyperlink r:id="rId7" w:history="1">
        <w:r w:rsidRPr="00F837A2">
          <w:rPr>
            <w:rStyle w:val="Hyperlink"/>
            <w:rFonts w:ascii="Arial" w:hAnsi="Arial" w:cs="Arial"/>
            <w:color w:val="auto"/>
            <w:u w:val="none"/>
          </w:rPr>
          <w:t>nature</w:t>
        </w:r>
      </w:hyperlink>
      <w:r w:rsidRPr="00F837A2">
        <w:rPr>
          <w:rFonts w:ascii="Arial" w:hAnsi="Arial" w:cs="Arial"/>
        </w:rPr>
        <w:t> of decay, and are such as may be blotted out and cease to exist; for God alone is unbegotten and incorruptible, and therefore He is </w:t>
      </w:r>
      <w:hyperlink r:id="rId8" w:history="1">
        <w:r w:rsidRPr="00F837A2">
          <w:rPr>
            <w:rStyle w:val="Hyperlink"/>
            <w:rFonts w:ascii="Arial" w:hAnsi="Arial" w:cs="Arial"/>
            <w:color w:val="auto"/>
            <w:u w:val="none"/>
          </w:rPr>
          <w:t>God</w:t>
        </w:r>
      </w:hyperlink>
      <w:r w:rsidRPr="00F837A2">
        <w:rPr>
          <w:rFonts w:ascii="Arial" w:hAnsi="Arial" w:cs="Arial"/>
        </w:rPr>
        <w:t>, but all other things after Him are created and corruptible. For this reason</w:t>
      </w:r>
      <w:r>
        <w:rPr>
          <w:rFonts w:ascii="Arial" w:hAnsi="Arial" w:cs="Arial"/>
        </w:rPr>
        <w:t>,</w:t>
      </w:r>
      <w:r w:rsidRPr="00F837A2">
        <w:rPr>
          <w:rFonts w:ascii="Arial" w:hAnsi="Arial" w:cs="Arial"/>
        </w:rPr>
        <w:t> </w:t>
      </w:r>
      <w:hyperlink r:id="rId9" w:history="1">
        <w:r w:rsidRPr="00F837A2">
          <w:rPr>
            <w:rStyle w:val="Hyperlink"/>
            <w:rFonts w:ascii="Arial" w:hAnsi="Arial" w:cs="Arial"/>
            <w:color w:val="auto"/>
            <w:u w:val="none"/>
          </w:rPr>
          <w:t>souls</w:t>
        </w:r>
      </w:hyperlink>
      <w:r w:rsidRPr="00F837A2">
        <w:rPr>
          <w:rFonts w:ascii="Arial" w:hAnsi="Arial" w:cs="Arial"/>
        </w:rPr>
        <w:t> both die and are punished.</w:t>
      </w:r>
      <w:r w:rsidRPr="00710FB1">
        <w:rPr>
          <w:rFonts w:ascii="Arial" w:hAnsi="Arial" w:cs="Arial"/>
          <w:sz w:val="22"/>
          <w:szCs w:val="22"/>
          <w:vertAlign w:val="superscript"/>
        </w:rPr>
        <w:footnoteReference w:id="14"/>
      </w:r>
    </w:p>
    <w:p w14:paraId="76E86636" w14:textId="77777777" w:rsidR="0098077D" w:rsidRDefault="0098077D" w:rsidP="0098077D">
      <w:pPr>
        <w:spacing w:line="360" w:lineRule="auto"/>
        <w:rPr>
          <w:rFonts w:ascii="Arial" w:hAnsi="Arial" w:cs="Arial"/>
        </w:rPr>
      </w:pPr>
    </w:p>
    <w:p w14:paraId="4CA616FC" w14:textId="77777777" w:rsidR="0098077D" w:rsidRDefault="0098077D" w:rsidP="0098077D">
      <w:pPr>
        <w:spacing w:line="360" w:lineRule="auto"/>
        <w:rPr>
          <w:rFonts w:ascii="Arial" w:hAnsi="Arial" w:cs="Arial"/>
        </w:rPr>
      </w:pPr>
      <w:r>
        <w:rPr>
          <w:rFonts w:ascii="Arial" w:hAnsi="Arial" w:cs="Arial"/>
        </w:rPr>
        <w:t xml:space="preserve">Notice how Justin argues that only God has no origin and is incapable of corruption (He is immortal) and those facts make Him God. Since souls are created, they are by nature </w:t>
      </w:r>
      <w:r>
        <w:rPr>
          <w:rFonts w:ascii="Arial" w:hAnsi="Arial" w:cs="Arial"/>
        </w:rPr>
        <w:lastRenderedPageBreak/>
        <w:t>mortal: “souls both die and are punished”. Justin’s argument would mean that he felt anyone claiming the immortality of the soul would be committing blaspheme and a claim to natural immortality is a claim to divinity. This is the claim that the serpent posed to Eve in the Garden of Eden:</w:t>
      </w:r>
      <w:r>
        <w:rPr>
          <w:rFonts w:ascii="Arial" w:hAnsi="Arial" w:cs="Arial"/>
        </w:rPr>
        <w:br/>
      </w:r>
      <w:r>
        <w:rPr>
          <w:rFonts w:ascii="Arial" w:hAnsi="Arial" w:cs="Arial"/>
        </w:rPr>
        <w:br/>
      </w:r>
      <w:r>
        <w:rPr>
          <w:rFonts w:ascii="Arial" w:hAnsi="Arial" w:cs="Arial"/>
        </w:rPr>
        <w:tab/>
      </w:r>
      <w:r w:rsidRPr="00F837A2">
        <w:rPr>
          <w:rFonts w:ascii="Arial" w:hAnsi="Arial" w:cs="Arial"/>
        </w:rPr>
        <w:t>Then the serpent said to the woman, “You will not surely die</w:t>
      </w:r>
      <w:r>
        <w:rPr>
          <w:rFonts w:ascii="Arial" w:hAnsi="Arial" w:cs="Arial"/>
        </w:rPr>
        <w:t xml:space="preserve">. </w:t>
      </w:r>
      <w:r w:rsidRPr="00F837A2">
        <w:rPr>
          <w:rFonts w:ascii="Arial" w:hAnsi="Arial" w:cs="Arial"/>
        </w:rPr>
        <w:t xml:space="preserve">For God knows that </w:t>
      </w:r>
      <w:r>
        <w:rPr>
          <w:rFonts w:ascii="Arial" w:hAnsi="Arial" w:cs="Arial"/>
        </w:rPr>
        <w:t xml:space="preserve">                    </w:t>
      </w:r>
    </w:p>
    <w:p w14:paraId="1ACC94A5" w14:textId="77777777" w:rsidR="0098077D" w:rsidRDefault="0098077D" w:rsidP="0098077D">
      <w:pPr>
        <w:spacing w:line="360" w:lineRule="auto"/>
        <w:ind w:left="720"/>
        <w:rPr>
          <w:rFonts w:ascii="Arial" w:hAnsi="Arial" w:cs="Arial"/>
        </w:rPr>
      </w:pPr>
      <w:r w:rsidRPr="00F837A2">
        <w:rPr>
          <w:rFonts w:ascii="Arial" w:hAnsi="Arial" w:cs="Arial"/>
        </w:rPr>
        <w:t>in the day you eat of it your eyes will be opened, and you will be like God, knowing good and evil.</w:t>
      </w:r>
      <w:r>
        <w:rPr>
          <w:rStyle w:val="FootnoteReference"/>
          <w:rFonts w:ascii="Arial" w:hAnsi="Arial" w:cs="Arial"/>
        </w:rPr>
        <w:footnoteReference w:id="15"/>
      </w:r>
    </w:p>
    <w:p w14:paraId="356F4247" w14:textId="77777777" w:rsidR="0098077D" w:rsidRDefault="0098077D" w:rsidP="0098077D">
      <w:pPr>
        <w:spacing w:line="360" w:lineRule="auto"/>
        <w:rPr>
          <w:rFonts w:ascii="Arial" w:hAnsi="Arial" w:cs="Arial"/>
        </w:rPr>
      </w:pPr>
    </w:p>
    <w:p w14:paraId="084E6A73" w14:textId="77777777" w:rsidR="0098077D" w:rsidRDefault="0098077D" w:rsidP="0098077D">
      <w:pPr>
        <w:spacing w:line="360" w:lineRule="auto"/>
        <w:rPr>
          <w:rFonts w:ascii="Arial" w:hAnsi="Arial" w:cs="Arial"/>
        </w:rPr>
      </w:pPr>
      <w:r>
        <w:rPr>
          <w:rFonts w:ascii="Arial" w:hAnsi="Arial" w:cs="Arial"/>
        </w:rPr>
        <w:t>Justin in this case appears to be in harmony with the Bible in the assessment that only God is immortal</w:t>
      </w:r>
      <w:r>
        <w:rPr>
          <w:rStyle w:val="FootnoteReference"/>
          <w:rFonts w:ascii="Arial" w:hAnsi="Arial" w:cs="Arial"/>
        </w:rPr>
        <w:footnoteReference w:id="16"/>
      </w:r>
      <w:r>
        <w:rPr>
          <w:rFonts w:ascii="Arial" w:hAnsi="Arial" w:cs="Arial"/>
        </w:rPr>
        <w:t xml:space="preserve"> and that it is a lie to claim that we are actually like God with something within us that does not “surely” die.</w:t>
      </w:r>
      <w:r>
        <w:rPr>
          <w:rFonts w:ascii="Arial" w:hAnsi="Arial" w:cs="Arial"/>
        </w:rPr>
        <w:br/>
      </w:r>
      <w:r>
        <w:rPr>
          <w:rFonts w:ascii="Arial" w:hAnsi="Arial" w:cs="Arial"/>
        </w:rPr>
        <w:br/>
        <w:t>This theme of hope in the resurrection rather than innate immortality permeated the majority of the early Christian church until the time of Tertulian.</w:t>
      </w:r>
      <w:r>
        <w:rPr>
          <w:rStyle w:val="FootnoteReference"/>
          <w:rFonts w:ascii="Arial" w:hAnsi="Arial" w:cs="Arial"/>
        </w:rPr>
        <w:footnoteReference w:id="17"/>
      </w:r>
      <w:r>
        <w:rPr>
          <w:rFonts w:ascii="Arial" w:hAnsi="Arial" w:cs="Arial"/>
        </w:rPr>
        <w:br/>
      </w:r>
      <w:r>
        <w:rPr>
          <w:rFonts w:ascii="Arial" w:hAnsi="Arial" w:cs="Arial"/>
        </w:rPr>
        <w:br/>
      </w:r>
      <w:r w:rsidRPr="001C076B">
        <w:rPr>
          <w:rFonts w:ascii="Arial" w:hAnsi="Arial" w:cs="Arial"/>
        </w:rPr>
        <w:t>Tertulian wrote the first extensive Christian works in Latin. He lived in Carthage (modern day Tunis in North Africa) and witnessed great persecution. He departed from Justin and the majority of other early Christians who disagreed with Plato on the immortality of the soul:</w:t>
      </w:r>
      <w:r>
        <w:rPr>
          <w:rFonts w:ascii="Arial" w:hAnsi="Arial" w:cs="Arial"/>
        </w:rPr>
        <w:br/>
      </w:r>
      <w:r>
        <w:rPr>
          <w:rFonts w:ascii="Arial" w:hAnsi="Arial" w:cs="Arial"/>
        </w:rPr>
        <w:br/>
        <w:t xml:space="preserve"> </w:t>
      </w:r>
      <w:r>
        <w:rPr>
          <w:rFonts w:ascii="Arial" w:hAnsi="Arial" w:cs="Arial"/>
        </w:rPr>
        <w:tab/>
      </w:r>
      <w:r w:rsidRPr="009D2204">
        <w:rPr>
          <w:rFonts w:ascii="Arial" w:hAnsi="Arial" w:cs="Arial"/>
        </w:rPr>
        <w:t xml:space="preserve">I may use, therefore, the opinion of a Plato, when he declares, “Every soul is </w:t>
      </w:r>
      <w:r>
        <w:rPr>
          <w:rFonts w:ascii="Arial" w:hAnsi="Arial" w:cs="Arial"/>
        </w:rPr>
        <w:t xml:space="preserve"> </w:t>
      </w:r>
    </w:p>
    <w:p w14:paraId="43566A49" w14:textId="77777777" w:rsidR="0098077D" w:rsidRDefault="0098077D" w:rsidP="0098077D">
      <w:pPr>
        <w:spacing w:line="360" w:lineRule="auto"/>
        <w:ind w:left="720"/>
        <w:rPr>
          <w:rFonts w:ascii="Arial" w:hAnsi="Arial" w:cs="Arial"/>
        </w:rPr>
      </w:pPr>
      <w:r w:rsidRPr="009D2204">
        <w:rPr>
          <w:rFonts w:ascii="Arial" w:hAnsi="Arial" w:cs="Arial"/>
        </w:rPr>
        <w:t xml:space="preserve">immortal.”  I may use also the conscience of a nation, when it attests the God of gods. I may, in like manner, use all the other intelligences of our common nature, when they pronounce God to be a judge. “God sees,” (say they); and, “I commend you to God.” But when they say, “What has undergone death is dead,” and, “Enjoy life whilst you live,” and, “After death all things come to an end, even </w:t>
      </w:r>
      <w:r w:rsidRPr="009D2204">
        <w:rPr>
          <w:rFonts w:ascii="Arial" w:hAnsi="Arial" w:cs="Arial"/>
        </w:rPr>
        <w:lastRenderedPageBreak/>
        <w:t>death itself;” then I must remember both that “the heart of man is ashes,”</w:t>
      </w:r>
      <w:r>
        <w:rPr>
          <w:rFonts w:ascii="Arial" w:hAnsi="Arial" w:cs="Arial"/>
        </w:rPr>
        <w:t xml:space="preserve"> </w:t>
      </w:r>
      <w:r w:rsidRPr="009D2204">
        <w:rPr>
          <w:rFonts w:ascii="Arial" w:hAnsi="Arial" w:cs="Arial"/>
        </w:rPr>
        <w:t>according to the estimate of God, and that the very “Wisdom of the world is foolishness,” (as the inspired word) pronounces it to be.</w:t>
      </w:r>
      <w:r>
        <w:rPr>
          <w:rStyle w:val="FootnoteReference"/>
          <w:rFonts w:ascii="Arial" w:hAnsi="Arial" w:cs="Arial"/>
        </w:rPr>
        <w:footnoteReference w:id="18"/>
      </w:r>
    </w:p>
    <w:p w14:paraId="6538484F" w14:textId="77777777" w:rsidR="0098077D" w:rsidRDefault="0098077D" w:rsidP="0098077D">
      <w:pPr>
        <w:spacing w:line="360" w:lineRule="auto"/>
        <w:rPr>
          <w:rFonts w:ascii="Arial" w:hAnsi="Arial" w:cs="Arial"/>
        </w:rPr>
      </w:pPr>
    </w:p>
    <w:p w14:paraId="3B3AFE14" w14:textId="5C81CCC5" w:rsidR="0098077D" w:rsidRDefault="0098077D" w:rsidP="0098077D">
      <w:pPr>
        <w:spacing w:line="360" w:lineRule="auto"/>
        <w:rPr>
          <w:rFonts w:ascii="Arial" w:hAnsi="Arial" w:cs="Arial"/>
        </w:rPr>
      </w:pPr>
      <w:r>
        <w:rPr>
          <w:rFonts w:ascii="Arial" w:hAnsi="Arial" w:cs="Arial"/>
        </w:rPr>
        <w:t xml:space="preserve">Notice that he doesn’t use Scripture to prove his point but Plato. </w:t>
      </w:r>
      <w:r>
        <w:rPr>
          <w:rFonts w:ascii="Arial" w:hAnsi="Arial" w:cs="Arial"/>
        </w:rPr>
        <w:br/>
      </w:r>
      <w:r>
        <w:rPr>
          <w:rFonts w:ascii="Arial" w:hAnsi="Arial" w:cs="Arial"/>
        </w:rPr>
        <w:br/>
        <w:t>Even after Tertullian’s time, many early Christians still taught conditionalism. But by the time of Augustin Bishop of Hippo, innate immortality with its implications of eternal torment became orthodox doctrine throughout most of Christendom and continues to be so today.</w:t>
      </w:r>
      <w:r w:rsidR="004C0F9B">
        <w:rPr>
          <w:rFonts w:ascii="Arial" w:hAnsi="Arial" w:cs="Arial"/>
        </w:rPr>
        <w:t xml:space="preserve"> But there has always been some within Christendom who have challenged the Platonic theories of the immortality of the soul. As of late, many more have joined the ranks.</w:t>
      </w:r>
    </w:p>
    <w:p w14:paraId="61321703" w14:textId="77777777" w:rsidR="0098077D" w:rsidRDefault="0098077D" w:rsidP="0098077D"/>
    <w:p w14:paraId="1D3FE6DF" w14:textId="77777777" w:rsidR="00976473" w:rsidRDefault="00976473"/>
    <w:p w14:paraId="581F7BDD" w14:textId="77777777" w:rsidR="0098077D" w:rsidRDefault="0098077D"/>
    <w:p w14:paraId="05A1B42F" w14:textId="77777777" w:rsidR="0098077D" w:rsidRDefault="0098077D"/>
    <w:p w14:paraId="779EC0F0" w14:textId="77777777" w:rsidR="0098077D" w:rsidRDefault="0098077D"/>
    <w:p w14:paraId="1DE08114" w14:textId="77777777" w:rsidR="0098077D" w:rsidRDefault="0098077D"/>
    <w:p w14:paraId="3915CED3" w14:textId="77777777" w:rsidR="0098077D" w:rsidRDefault="0098077D"/>
    <w:p w14:paraId="2F3281A1" w14:textId="77777777" w:rsidR="0098077D" w:rsidRDefault="0098077D"/>
    <w:p w14:paraId="0BF89E26" w14:textId="77777777" w:rsidR="0098077D" w:rsidRDefault="0098077D"/>
    <w:p w14:paraId="7F764825" w14:textId="77777777" w:rsidR="0098077D" w:rsidRDefault="0098077D"/>
    <w:p w14:paraId="50D82F45" w14:textId="77777777" w:rsidR="0098077D" w:rsidRDefault="0098077D"/>
    <w:p w14:paraId="0BC6CEF4" w14:textId="77777777" w:rsidR="0098077D" w:rsidRDefault="0098077D"/>
    <w:p w14:paraId="039E7E2D" w14:textId="77777777" w:rsidR="0098077D" w:rsidRDefault="0098077D"/>
    <w:p w14:paraId="3267D515" w14:textId="77777777" w:rsidR="0098077D" w:rsidRDefault="0098077D"/>
    <w:p w14:paraId="73C6CD56" w14:textId="77777777" w:rsidR="0098077D" w:rsidRDefault="0098077D"/>
    <w:p w14:paraId="68852BBB" w14:textId="77777777" w:rsidR="0098077D" w:rsidRDefault="0098077D"/>
    <w:p w14:paraId="03C0FD32" w14:textId="77777777" w:rsidR="0098077D" w:rsidRDefault="0098077D"/>
    <w:p w14:paraId="218C71B1" w14:textId="77777777" w:rsidR="0098077D" w:rsidRDefault="0098077D"/>
    <w:p w14:paraId="22B15986" w14:textId="77777777" w:rsidR="0098077D" w:rsidRDefault="0098077D"/>
    <w:p w14:paraId="6A904BCF" w14:textId="77777777" w:rsidR="0098077D" w:rsidRDefault="0098077D"/>
    <w:p w14:paraId="2663048E" w14:textId="77777777" w:rsidR="0098077D" w:rsidRDefault="0098077D"/>
    <w:p w14:paraId="2275D246" w14:textId="77777777" w:rsidR="0098077D" w:rsidRDefault="0098077D"/>
    <w:p w14:paraId="7047D21C" w14:textId="77777777" w:rsidR="004C0F9B" w:rsidRDefault="004C0F9B"/>
    <w:p w14:paraId="6FA34293" w14:textId="77777777" w:rsidR="0098077D" w:rsidRDefault="0098077D" w:rsidP="0098077D">
      <w:pPr>
        <w:pStyle w:val="Heading2"/>
      </w:pPr>
      <w:r>
        <w:lastRenderedPageBreak/>
        <w:t>Eternal Torment</w:t>
      </w:r>
    </w:p>
    <w:p w14:paraId="653E0713" w14:textId="77777777" w:rsidR="0098077D" w:rsidRDefault="0098077D" w:rsidP="0098077D">
      <w:pPr>
        <w:spacing w:line="360" w:lineRule="auto"/>
        <w:rPr>
          <w:rFonts w:ascii="Arial" w:hAnsi="Arial" w:cs="Arial"/>
        </w:rPr>
      </w:pPr>
      <w:r>
        <w:rPr>
          <w:rFonts w:ascii="Arial" w:hAnsi="Arial" w:cs="Arial"/>
        </w:rPr>
        <w:br/>
        <w:t>If the soul is inherently immortal, then it is not subject to destruction and Hell becomes a place of eternal torture rather than the “the second death.”</w:t>
      </w:r>
      <w:r>
        <w:rPr>
          <w:rStyle w:val="FootnoteReference"/>
          <w:rFonts w:ascii="Arial" w:hAnsi="Arial" w:cs="Arial"/>
        </w:rPr>
        <w:footnoteReference w:id="19"/>
      </w:r>
      <w:r>
        <w:rPr>
          <w:rFonts w:ascii="Arial" w:hAnsi="Arial" w:cs="Arial"/>
        </w:rPr>
        <w:t xml:space="preserve"> The Bible consistently portrays the destruction of the wicked as cessation of existence rather than the immortalizing of sin. Notice the clear dichotomy in one of the Bible’s most famous verses:</w:t>
      </w:r>
      <w:r>
        <w:rPr>
          <w:rFonts w:ascii="Arial" w:hAnsi="Arial" w:cs="Arial"/>
        </w:rPr>
        <w:br/>
      </w:r>
      <w:r>
        <w:rPr>
          <w:rFonts w:ascii="Arial" w:hAnsi="Arial" w:cs="Arial"/>
        </w:rPr>
        <w:br/>
        <w:t xml:space="preserve"> </w:t>
      </w:r>
      <w:r>
        <w:rPr>
          <w:rFonts w:ascii="Arial" w:hAnsi="Arial" w:cs="Arial"/>
        </w:rPr>
        <w:tab/>
      </w:r>
      <w:r w:rsidRPr="00CC1D57">
        <w:rPr>
          <w:rFonts w:ascii="Arial" w:hAnsi="Arial" w:cs="Arial"/>
        </w:rPr>
        <w:t xml:space="preserve">For God so loved the world that He gave His only begotten Son, that whoever </w:t>
      </w:r>
      <w:r>
        <w:rPr>
          <w:rFonts w:ascii="Arial" w:hAnsi="Arial" w:cs="Arial"/>
        </w:rPr>
        <w:br/>
        <w:t xml:space="preserve">  </w:t>
      </w:r>
      <w:r>
        <w:rPr>
          <w:rFonts w:ascii="Arial" w:hAnsi="Arial" w:cs="Arial"/>
        </w:rPr>
        <w:tab/>
      </w:r>
      <w:r w:rsidRPr="00CC1D57">
        <w:rPr>
          <w:rFonts w:ascii="Arial" w:hAnsi="Arial" w:cs="Arial"/>
        </w:rPr>
        <w:t>believes in Him should not perish but have everlasting life.</w:t>
      </w:r>
      <w:r>
        <w:rPr>
          <w:rStyle w:val="FootnoteReference"/>
          <w:rFonts w:ascii="Arial" w:hAnsi="Arial" w:cs="Arial"/>
        </w:rPr>
        <w:footnoteReference w:id="20"/>
      </w:r>
    </w:p>
    <w:p w14:paraId="17A23F8B" w14:textId="77777777" w:rsidR="0098077D" w:rsidRDefault="0098077D" w:rsidP="0098077D">
      <w:pPr>
        <w:rPr>
          <w:rFonts w:ascii="Arial" w:hAnsi="Arial" w:cs="Arial"/>
        </w:rPr>
      </w:pPr>
    </w:p>
    <w:p w14:paraId="466C7097" w14:textId="77777777" w:rsidR="0098077D" w:rsidRDefault="0098077D" w:rsidP="0098077D">
      <w:pPr>
        <w:spacing w:line="360" w:lineRule="auto"/>
        <w:rPr>
          <w:rFonts w:ascii="Arial" w:hAnsi="Arial" w:cs="Arial"/>
        </w:rPr>
      </w:pPr>
      <w:r>
        <w:rPr>
          <w:rFonts w:ascii="Arial" w:hAnsi="Arial" w:cs="Arial"/>
        </w:rPr>
        <w:t>There is a condition to everlasting life—believing in Jesus. Those who don’t will perish. Perishing is the exact opposite of everlasting life. Note that it does not say that whoever believes in Him will not have everlasting life in Hell but everlasting life in Heaven. The straightforward and obvious meaning of what Jesus is saying is that everlasting life is granted on condition of believing in Him. It is not innate. If you don’t have everlasting life, you will perish—cease to exist.</w:t>
      </w:r>
    </w:p>
    <w:p w14:paraId="49283A6E" w14:textId="77777777" w:rsidR="0098077D" w:rsidRDefault="0098077D" w:rsidP="0098077D">
      <w:pPr>
        <w:rPr>
          <w:rFonts w:ascii="Arial" w:hAnsi="Arial" w:cs="Arial"/>
        </w:rPr>
      </w:pPr>
    </w:p>
    <w:p w14:paraId="2756652E" w14:textId="77777777" w:rsidR="0098077D" w:rsidRDefault="0098077D" w:rsidP="0098077D">
      <w:pPr>
        <w:spacing w:line="360" w:lineRule="auto"/>
        <w:rPr>
          <w:rFonts w:ascii="Arial" w:hAnsi="Arial" w:cs="Arial"/>
        </w:rPr>
      </w:pPr>
      <w:r>
        <w:rPr>
          <w:rFonts w:ascii="Arial" w:hAnsi="Arial" w:cs="Arial"/>
        </w:rPr>
        <w:t>The language used for the end of the unrepentant denotes complete destruction resulting in the cessation of existence: “consumed”</w:t>
      </w:r>
      <w:r>
        <w:rPr>
          <w:rStyle w:val="FootnoteReference"/>
          <w:rFonts w:ascii="Arial" w:hAnsi="Arial" w:cs="Arial"/>
        </w:rPr>
        <w:footnoteReference w:id="21"/>
      </w:r>
      <w:r>
        <w:rPr>
          <w:rFonts w:ascii="Arial" w:hAnsi="Arial" w:cs="Arial"/>
        </w:rPr>
        <w:t xml:space="preserve"> “be no more”</w:t>
      </w:r>
      <w:r>
        <w:rPr>
          <w:rStyle w:val="FootnoteReference"/>
          <w:rFonts w:ascii="Arial" w:hAnsi="Arial" w:cs="Arial"/>
        </w:rPr>
        <w:footnoteReference w:id="22"/>
      </w:r>
      <w:r>
        <w:rPr>
          <w:rFonts w:ascii="Arial" w:hAnsi="Arial" w:cs="Arial"/>
        </w:rPr>
        <w:t xml:space="preserve"> “into smoke…consume away”</w:t>
      </w:r>
      <w:r>
        <w:rPr>
          <w:rStyle w:val="FootnoteReference"/>
          <w:rFonts w:ascii="Arial" w:hAnsi="Arial" w:cs="Arial"/>
        </w:rPr>
        <w:footnoteReference w:id="23"/>
      </w:r>
      <w:r>
        <w:rPr>
          <w:rFonts w:ascii="Arial" w:hAnsi="Arial" w:cs="Arial"/>
        </w:rPr>
        <w:t xml:space="preserve"> “passed away… could not be found”</w:t>
      </w:r>
      <w:r>
        <w:rPr>
          <w:rStyle w:val="FootnoteReference"/>
          <w:rFonts w:ascii="Arial" w:hAnsi="Arial" w:cs="Arial"/>
        </w:rPr>
        <w:footnoteReference w:id="24"/>
      </w:r>
      <w:r>
        <w:rPr>
          <w:rFonts w:ascii="Arial" w:hAnsi="Arial" w:cs="Arial"/>
        </w:rPr>
        <w:t xml:space="preserve"> “destroy(ed)”</w:t>
      </w:r>
      <w:r>
        <w:rPr>
          <w:rStyle w:val="FootnoteReference"/>
          <w:rFonts w:ascii="Arial" w:hAnsi="Arial" w:cs="Arial"/>
        </w:rPr>
        <w:footnoteReference w:id="25"/>
      </w:r>
      <w:r>
        <w:rPr>
          <w:rFonts w:ascii="Arial" w:hAnsi="Arial" w:cs="Arial"/>
        </w:rPr>
        <w:t xml:space="preserve"> “cut off”</w:t>
      </w:r>
      <w:r>
        <w:rPr>
          <w:rStyle w:val="FootnoteReference"/>
          <w:rFonts w:ascii="Arial" w:hAnsi="Arial" w:cs="Arial"/>
        </w:rPr>
        <w:footnoteReference w:id="26"/>
      </w:r>
      <w:r>
        <w:rPr>
          <w:rFonts w:ascii="Arial" w:hAnsi="Arial" w:cs="Arial"/>
        </w:rPr>
        <w:t xml:space="preserve"> “devoured”</w:t>
      </w:r>
      <w:r>
        <w:rPr>
          <w:rStyle w:val="FootnoteReference"/>
          <w:rFonts w:ascii="Arial" w:hAnsi="Arial" w:cs="Arial"/>
        </w:rPr>
        <w:footnoteReference w:id="27"/>
      </w:r>
      <w:r>
        <w:rPr>
          <w:rFonts w:ascii="Arial" w:hAnsi="Arial" w:cs="Arial"/>
        </w:rPr>
        <w:t xml:space="preserve"> and “be as though they had not been”</w:t>
      </w:r>
      <w:r>
        <w:rPr>
          <w:rStyle w:val="FootnoteReference"/>
          <w:rFonts w:ascii="Arial" w:hAnsi="Arial" w:cs="Arial"/>
        </w:rPr>
        <w:footnoteReference w:id="28"/>
      </w:r>
      <w:r>
        <w:rPr>
          <w:rFonts w:ascii="Arial" w:hAnsi="Arial" w:cs="Arial"/>
        </w:rPr>
        <w:t xml:space="preserve"> etc.</w:t>
      </w:r>
    </w:p>
    <w:p w14:paraId="387459AC" w14:textId="77777777" w:rsidR="0098077D" w:rsidRDefault="0098077D" w:rsidP="0098077D">
      <w:pPr>
        <w:spacing w:line="360" w:lineRule="auto"/>
        <w:rPr>
          <w:rFonts w:ascii="Arial" w:hAnsi="Arial" w:cs="Arial"/>
        </w:rPr>
      </w:pPr>
    </w:p>
    <w:p w14:paraId="62A0EBA8" w14:textId="77777777" w:rsidR="0098077D" w:rsidRDefault="0098077D" w:rsidP="0098077D">
      <w:pPr>
        <w:spacing w:line="360" w:lineRule="auto"/>
        <w:rPr>
          <w:rFonts w:ascii="Arial" w:hAnsi="Arial" w:cs="Arial"/>
        </w:rPr>
      </w:pPr>
      <w:r>
        <w:rPr>
          <w:rFonts w:ascii="Arial" w:hAnsi="Arial" w:cs="Arial"/>
        </w:rPr>
        <w:lastRenderedPageBreak/>
        <w:t>The Bible nowhere gives the idea of a disembodied soul suffering in the center of the earth in Hell for eternity. So, how did this become considered orthodox teaching to most of Christianity?</w:t>
      </w:r>
      <w:r>
        <w:rPr>
          <w:rStyle w:val="FootnoteReference"/>
          <w:rFonts w:ascii="Arial" w:hAnsi="Arial" w:cs="Arial"/>
        </w:rPr>
        <w:footnoteReference w:id="29"/>
      </w:r>
    </w:p>
    <w:p w14:paraId="527D7382" w14:textId="77777777" w:rsidR="0098077D" w:rsidRDefault="0098077D" w:rsidP="0098077D">
      <w:pPr>
        <w:rPr>
          <w:rFonts w:ascii="Arial" w:hAnsi="Arial" w:cs="Arial"/>
        </w:rPr>
      </w:pPr>
    </w:p>
    <w:p w14:paraId="31C51626" w14:textId="1C1B7AFC" w:rsidR="0098077D" w:rsidRDefault="00AA4B6B" w:rsidP="0098077D">
      <w:pPr>
        <w:spacing w:line="360" w:lineRule="auto"/>
        <w:rPr>
          <w:rFonts w:ascii="Arial" w:hAnsi="Arial" w:cs="Arial"/>
        </w:rPr>
      </w:pPr>
      <w:r>
        <w:rPr>
          <w:rFonts w:ascii="Arial" w:hAnsi="Arial" w:cs="Arial"/>
        </w:rPr>
        <w:t xml:space="preserve">The apocryphal book of </w:t>
      </w:r>
      <w:r w:rsidR="0098077D">
        <w:rPr>
          <w:rFonts w:ascii="Arial" w:hAnsi="Arial" w:cs="Arial"/>
        </w:rPr>
        <w:t xml:space="preserve">4 Maccabees shows us that this notion came through Greek influence. After the first of seven brothers had been martyred for refusing to eat pork, the second brother refuses to eat as well. Instead of caving into his persecutor’s demands, he turns the tables and threatens </w:t>
      </w:r>
      <w:r>
        <w:rPr>
          <w:rFonts w:ascii="Arial" w:hAnsi="Arial" w:cs="Arial"/>
        </w:rPr>
        <w:t xml:space="preserve">his torturer </w:t>
      </w:r>
      <w:r w:rsidR="0098077D">
        <w:rPr>
          <w:rFonts w:ascii="Arial" w:hAnsi="Arial" w:cs="Arial"/>
        </w:rPr>
        <w:t>that God will torture him through eternity:</w:t>
      </w:r>
      <w:r w:rsidR="0098077D">
        <w:rPr>
          <w:rFonts w:ascii="Arial" w:hAnsi="Arial" w:cs="Arial"/>
        </w:rPr>
        <w:br/>
      </w:r>
    </w:p>
    <w:p w14:paraId="70EF7410" w14:textId="77777777" w:rsidR="0098077D" w:rsidRDefault="0098077D" w:rsidP="0098077D">
      <w:pPr>
        <w:spacing w:line="360" w:lineRule="auto"/>
        <w:ind w:left="720"/>
        <w:rPr>
          <w:rFonts w:ascii="Arial" w:hAnsi="Arial" w:cs="Arial"/>
        </w:rPr>
      </w:pPr>
      <w:r w:rsidRPr="003A6349">
        <w:rPr>
          <w:rFonts w:ascii="Arial" w:hAnsi="Arial" w:cs="Arial"/>
        </w:rPr>
        <w:t>“You bloodstained tyrant, we are suffering these things because of our godly training and moral character. But you will endure endless torture because of your lack of respect for God and your cruel thirst for blood!”</w:t>
      </w:r>
      <w:r>
        <w:rPr>
          <w:rStyle w:val="FootnoteReference"/>
          <w:rFonts w:ascii="Arial" w:hAnsi="Arial" w:cs="Arial"/>
        </w:rPr>
        <w:footnoteReference w:id="30"/>
      </w:r>
    </w:p>
    <w:p w14:paraId="2D4475DC" w14:textId="77777777" w:rsidR="0098077D" w:rsidRDefault="0098077D" w:rsidP="0098077D">
      <w:pPr>
        <w:spacing w:line="360" w:lineRule="auto"/>
        <w:rPr>
          <w:rFonts w:ascii="Arial" w:hAnsi="Arial" w:cs="Arial"/>
        </w:rPr>
      </w:pPr>
    </w:p>
    <w:p w14:paraId="366A5010" w14:textId="77777777" w:rsidR="0098077D" w:rsidRDefault="0098077D" w:rsidP="0098077D">
      <w:pPr>
        <w:spacing w:line="360" w:lineRule="auto"/>
        <w:rPr>
          <w:rFonts w:ascii="Arial" w:hAnsi="Arial" w:cs="Arial"/>
        </w:rPr>
      </w:pPr>
      <w:r>
        <w:rPr>
          <w:rFonts w:ascii="Arial" w:hAnsi="Arial" w:cs="Arial"/>
        </w:rPr>
        <w:t>Likewise, the seventh and last of the brothers snapped to his persecutor that his tortures would be without end:</w:t>
      </w:r>
      <w:r>
        <w:rPr>
          <w:rFonts w:ascii="Arial" w:hAnsi="Arial" w:cs="Arial"/>
        </w:rPr>
        <w:br/>
      </w:r>
      <w:r>
        <w:rPr>
          <w:rFonts w:ascii="Arial" w:hAnsi="Arial" w:cs="Arial"/>
        </w:rPr>
        <w:br/>
      </w:r>
      <w:r>
        <w:rPr>
          <w:rFonts w:ascii="Arial" w:hAnsi="Arial" w:cs="Arial"/>
        </w:rPr>
        <w:tab/>
        <w:t>“</w:t>
      </w:r>
      <w:r w:rsidRPr="003A6349">
        <w:rPr>
          <w:rFonts w:ascii="Arial" w:hAnsi="Arial" w:cs="Arial"/>
        </w:rPr>
        <w:t xml:space="preserve">For these actions, justice is waiting for you with a stronger and everlasting fire </w:t>
      </w:r>
      <w:r>
        <w:rPr>
          <w:rFonts w:ascii="Arial" w:hAnsi="Arial" w:cs="Arial"/>
        </w:rPr>
        <w:t xml:space="preserve">   </w:t>
      </w:r>
    </w:p>
    <w:p w14:paraId="278E592B" w14:textId="77777777" w:rsidR="0098077D" w:rsidRDefault="0098077D" w:rsidP="0098077D">
      <w:pPr>
        <w:spacing w:line="360" w:lineRule="auto"/>
        <w:ind w:firstLine="720"/>
        <w:rPr>
          <w:rFonts w:ascii="Arial" w:hAnsi="Arial" w:cs="Arial"/>
        </w:rPr>
      </w:pPr>
      <w:r w:rsidRPr="003A6349">
        <w:rPr>
          <w:rFonts w:ascii="Arial" w:hAnsi="Arial" w:cs="Arial"/>
        </w:rPr>
        <w:t>and torture, from which you will never, ever be released</w:t>
      </w:r>
      <w:r>
        <w:rPr>
          <w:rFonts w:ascii="Arial" w:hAnsi="Arial" w:cs="Arial"/>
        </w:rPr>
        <w:t>.”</w:t>
      </w:r>
      <w:r>
        <w:rPr>
          <w:rStyle w:val="FootnoteReference"/>
          <w:rFonts w:ascii="Arial" w:hAnsi="Arial" w:cs="Arial"/>
        </w:rPr>
        <w:footnoteReference w:id="31"/>
      </w:r>
    </w:p>
    <w:p w14:paraId="1AFF9AEB" w14:textId="77777777" w:rsidR="0098077D" w:rsidRDefault="0098077D" w:rsidP="0098077D">
      <w:pPr>
        <w:rPr>
          <w:rFonts w:ascii="Arial" w:hAnsi="Arial" w:cs="Arial"/>
        </w:rPr>
      </w:pPr>
    </w:p>
    <w:p w14:paraId="5AE6EA1C" w14:textId="77777777" w:rsidR="0098077D" w:rsidRDefault="0098077D" w:rsidP="0098077D">
      <w:pPr>
        <w:spacing w:line="360" w:lineRule="auto"/>
        <w:rPr>
          <w:rFonts w:ascii="Arial" w:hAnsi="Arial" w:cs="Arial"/>
        </w:rPr>
      </w:pPr>
      <w:r>
        <w:rPr>
          <w:rFonts w:ascii="Arial" w:hAnsi="Arial" w:cs="Arial"/>
        </w:rPr>
        <w:t xml:space="preserve">What Greek ideas impressed the author of 4 Maccabees and many other Jews and later Christians? </w:t>
      </w:r>
      <w:r>
        <w:rPr>
          <w:rFonts w:ascii="Arial" w:hAnsi="Arial" w:cs="Arial"/>
        </w:rPr>
        <w:br/>
      </w:r>
      <w:r>
        <w:rPr>
          <w:rFonts w:ascii="Arial" w:hAnsi="Arial" w:cs="Arial"/>
        </w:rPr>
        <w:br/>
        <w:t xml:space="preserve">In Greek mythology, there is a general realm for disembodied souls. This is known as Hades; the territory ruled by the god of the same name. This is supposed to be located in the underworld. There are different departments for this underworld. One department was called the Elysian Fields. This was a type of paradise where those who were </w:t>
      </w:r>
      <w:r>
        <w:rPr>
          <w:rFonts w:ascii="Arial" w:hAnsi="Arial" w:cs="Arial"/>
        </w:rPr>
        <w:lastRenderedPageBreak/>
        <w:t>heroes and those who lived virtuous lives on earth could enjoy immortal bliss without rain, hail, or snow.</w:t>
      </w:r>
      <w:r>
        <w:rPr>
          <w:rStyle w:val="FootnoteReference"/>
          <w:rFonts w:ascii="Arial" w:hAnsi="Arial" w:cs="Arial"/>
        </w:rPr>
        <w:footnoteReference w:id="32"/>
      </w:r>
    </w:p>
    <w:p w14:paraId="67B00B9C" w14:textId="77777777" w:rsidR="0098077D" w:rsidRDefault="0098077D" w:rsidP="0098077D">
      <w:pPr>
        <w:spacing w:line="360" w:lineRule="auto"/>
        <w:rPr>
          <w:rFonts w:ascii="Arial" w:hAnsi="Arial" w:cs="Arial"/>
        </w:rPr>
      </w:pPr>
    </w:p>
    <w:p w14:paraId="67BA5EE6" w14:textId="77777777" w:rsidR="0098077D" w:rsidRDefault="0098077D" w:rsidP="0098077D">
      <w:pPr>
        <w:spacing w:line="360" w:lineRule="auto"/>
        <w:rPr>
          <w:rFonts w:ascii="Arial" w:hAnsi="Arial" w:cs="Arial"/>
        </w:rPr>
      </w:pPr>
      <w:r>
        <w:rPr>
          <w:rFonts w:ascii="Arial" w:hAnsi="Arial" w:cs="Arial"/>
        </w:rPr>
        <w:t xml:space="preserve">Another section of Hades is reserved for the most wicked. It was called Tartarus. It was in the lowest part of Hades, and the souls in it were tortured for their crimes on earth. It was also the realm of monsters and titans. </w:t>
      </w:r>
    </w:p>
    <w:p w14:paraId="73D787BA" w14:textId="77777777" w:rsidR="0098077D" w:rsidRDefault="0098077D" w:rsidP="0098077D">
      <w:pPr>
        <w:spacing w:line="360" w:lineRule="auto"/>
        <w:rPr>
          <w:rFonts w:ascii="Arial" w:hAnsi="Arial" w:cs="Arial"/>
        </w:rPr>
      </w:pPr>
    </w:p>
    <w:p w14:paraId="2E7ED32C" w14:textId="77777777" w:rsidR="0098077D" w:rsidRDefault="0098077D" w:rsidP="0098077D">
      <w:pPr>
        <w:spacing w:line="360" w:lineRule="auto"/>
        <w:rPr>
          <w:rFonts w:ascii="Arial" w:hAnsi="Arial" w:cs="Arial"/>
        </w:rPr>
      </w:pPr>
      <w:r>
        <w:rPr>
          <w:rFonts w:ascii="Arial" w:hAnsi="Arial" w:cs="Arial"/>
        </w:rPr>
        <w:t xml:space="preserve">These Greek myths were familiar to the medieval Italian poet </w:t>
      </w:r>
      <w:r w:rsidRPr="00472AA1">
        <w:rPr>
          <w:rFonts w:ascii="Arial" w:hAnsi="Arial" w:cs="Arial"/>
        </w:rPr>
        <w:t>Dante Alighieri</w:t>
      </w:r>
      <w:r>
        <w:rPr>
          <w:rFonts w:ascii="Arial" w:hAnsi="Arial" w:cs="Arial"/>
        </w:rPr>
        <w:t xml:space="preserve"> when he wrote his famous poem </w:t>
      </w:r>
      <w:r>
        <w:rPr>
          <w:rFonts w:ascii="Arial" w:hAnsi="Arial" w:cs="Arial"/>
          <w:i/>
          <w:iCs/>
        </w:rPr>
        <w:t xml:space="preserve">the Divine Comedy. </w:t>
      </w:r>
      <w:r>
        <w:rPr>
          <w:rFonts w:ascii="Arial" w:hAnsi="Arial" w:cs="Arial"/>
        </w:rPr>
        <w:t xml:space="preserve">In this poem, Dante is guided by the Roman poet Virgil through Hell, Heaven, and Purgatory. Along the way, Dante’s familiarity with Greek mythology becomes evident. He writes about several characters from the mythological Greek underworld: Charon, Cerberus, Minos, Medusa, the Minotaur, Phlegyas, etc. He also mentions places familiar to those who are acquainted with Greek mythology: Acheron, Limbo, Styx, Cocytus. He also mentions Greek heroes like Achilles, Hector, Hercules, Helen, Jason the Argonaut, Paris Odysseus; and Greek god’s like Apollo, Diana, Hera, Thaumas, Themis, and Zeus among others. </w:t>
      </w:r>
      <w:r>
        <w:rPr>
          <w:rFonts w:ascii="Arial" w:hAnsi="Arial" w:cs="Arial"/>
        </w:rPr>
        <w:br/>
      </w:r>
      <w:r>
        <w:rPr>
          <w:rFonts w:ascii="Arial" w:hAnsi="Arial" w:cs="Arial"/>
        </w:rPr>
        <w:br/>
        <w:t xml:space="preserve">Dante’s poem about Hell (the Inferno) became the most popular portion of </w:t>
      </w:r>
      <w:r>
        <w:rPr>
          <w:rFonts w:ascii="Arial" w:hAnsi="Arial" w:cs="Arial"/>
          <w:i/>
          <w:iCs/>
        </w:rPr>
        <w:t>The Divine Comedy</w:t>
      </w:r>
      <w:r>
        <w:rPr>
          <w:rFonts w:ascii="Arial" w:hAnsi="Arial" w:cs="Arial"/>
        </w:rPr>
        <w:t xml:space="preserve"> and revealed the popular perceptions of Hell in his day. Noticing that nowhere in the Bible is Hell ever described in such a manner and noticing the obvious Greek Mythology throughout the poem, it becomes evident that the “Christian” teaching of Hell comes largely from Greek paganism mixed with a few Bible passages taken out of context. </w:t>
      </w:r>
    </w:p>
    <w:p w14:paraId="52780857" w14:textId="77777777" w:rsidR="0098077D" w:rsidRDefault="0098077D" w:rsidP="0098077D"/>
    <w:p w14:paraId="1C75E5E3" w14:textId="77777777" w:rsidR="0098077D" w:rsidRDefault="0098077D"/>
    <w:sectPr w:rsidR="0098077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073C84" w14:textId="77777777" w:rsidR="00C6635D" w:rsidRDefault="00C6635D" w:rsidP="0098077D">
      <w:r>
        <w:separator/>
      </w:r>
    </w:p>
  </w:endnote>
  <w:endnote w:type="continuationSeparator" w:id="0">
    <w:p w14:paraId="51E34D91" w14:textId="77777777" w:rsidR="00C6635D" w:rsidRDefault="00C6635D" w:rsidP="009807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8572996"/>
      <w:docPartObj>
        <w:docPartGallery w:val="Page Numbers (Bottom of Page)"/>
        <w:docPartUnique/>
      </w:docPartObj>
    </w:sdtPr>
    <w:sdtEndPr>
      <w:rPr>
        <w:noProof/>
      </w:rPr>
    </w:sdtEndPr>
    <w:sdtContent>
      <w:p w14:paraId="171CD739" w14:textId="71E0B76F" w:rsidR="0032176C" w:rsidRDefault="003217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8E263A9" w14:textId="77777777" w:rsidR="0032176C" w:rsidRDefault="003217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4AFF4" w14:textId="77777777" w:rsidR="00C6635D" w:rsidRDefault="00C6635D" w:rsidP="0098077D">
      <w:r>
        <w:separator/>
      </w:r>
    </w:p>
  </w:footnote>
  <w:footnote w:type="continuationSeparator" w:id="0">
    <w:p w14:paraId="0A32F16F" w14:textId="77777777" w:rsidR="00C6635D" w:rsidRDefault="00C6635D" w:rsidP="0098077D">
      <w:r>
        <w:continuationSeparator/>
      </w:r>
    </w:p>
  </w:footnote>
  <w:footnote w:id="1">
    <w:p w14:paraId="59A9AE72" w14:textId="77777777" w:rsidR="0098077D" w:rsidRDefault="0098077D" w:rsidP="0098077D">
      <w:pPr>
        <w:pStyle w:val="FootnoteText"/>
      </w:pPr>
      <w:r>
        <w:rPr>
          <w:rStyle w:val="FootnoteReference"/>
        </w:rPr>
        <w:footnoteRef/>
      </w:r>
      <w:r>
        <w:t xml:space="preserve"> </w:t>
      </w:r>
      <w:r w:rsidRPr="005B31CA">
        <w:t>George W. Reid</w:t>
      </w:r>
      <w:r>
        <w:t xml:space="preserve">, </w:t>
      </w:r>
      <w:r w:rsidRPr="00000CBE">
        <w:rPr>
          <w:i/>
          <w:iCs/>
        </w:rPr>
        <w:t>Faith Under Pressure: The Sabbath as a Case Study</w:t>
      </w:r>
      <w:r>
        <w:rPr>
          <w:i/>
          <w:iCs/>
        </w:rPr>
        <w:t xml:space="preserve">, </w:t>
      </w:r>
      <w:r w:rsidRPr="00476047">
        <w:t>page 6</w:t>
      </w:r>
    </w:p>
  </w:footnote>
  <w:footnote w:id="2">
    <w:p w14:paraId="5D963BE1" w14:textId="77777777" w:rsidR="0098077D" w:rsidRDefault="0098077D" w:rsidP="0098077D">
      <w:pPr>
        <w:pStyle w:val="FootnoteText"/>
      </w:pPr>
      <w:r>
        <w:rPr>
          <w:rStyle w:val="FootnoteReference"/>
        </w:rPr>
        <w:footnoteRef/>
      </w:r>
      <w:r>
        <w:t xml:space="preserve"> Flavious</w:t>
      </w:r>
      <w:r w:rsidRPr="005A2494">
        <w:t xml:space="preserve"> Josephus</w:t>
      </w:r>
      <w:r w:rsidRPr="00194B75">
        <w:rPr>
          <w:i/>
          <w:iCs/>
        </w:rPr>
        <w:t>, the Wars of the Jews</w:t>
      </w:r>
      <w:r>
        <w:rPr>
          <w:i/>
          <w:iCs/>
        </w:rPr>
        <w:t>, Vol.</w:t>
      </w:r>
      <w:r w:rsidRPr="00194B75">
        <w:rPr>
          <w:i/>
          <w:iCs/>
        </w:rPr>
        <w:t xml:space="preserve"> </w:t>
      </w:r>
      <w:r w:rsidRPr="00194B75">
        <w:t>2</w:t>
      </w:r>
      <w:r>
        <w:t>,</w:t>
      </w:r>
      <w:r w:rsidRPr="00194B75">
        <w:t xml:space="preserve"> </w:t>
      </w:r>
      <w:r>
        <w:t xml:space="preserve">pages </w:t>
      </w:r>
      <w:r w:rsidRPr="00194B75">
        <w:t>154-158</w:t>
      </w:r>
    </w:p>
  </w:footnote>
  <w:footnote w:id="3">
    <w:p w14:paraId="6784193A" w14:textId="77777777" w:rsidR="0098077D" w:rsidRDefault="0098077D" w:rsidP="0098077D">
      <w:pPr>
        <w:pStyle w:val="FootnoteText"/>
      </w:pPr>
      <w:r>
        <w:rPr>
          <w:rStyle w:val="FootnoteReference"/>
        </w:rPr>
        <w:footnoteRef/>
      </w:r>
      <w:r>
        <w:t xml:space="preserve"> Leroy Froom, “Majority Adhere to Historic Conditionalism” chapter 39, </w:t>
      </w:r>
      <w:r w:rsidRPr="009E3661">
        <w:rPr>
          <w:i/>
          <w:iCs/>
        </w:rPr>
        <w:t>The Conditionalist Faith of Our Fathers</w:t>
      </w:r>
      <w:r>
        <w:t>, Vol. 1 1950</w:t>
      </w:r>
    </w:p>
  </w:footnote>
  <w:footnote w:id="4">
    <w:p w14:paraId="51C8B4E3" w14:textId="77777777" w:rsidR="0098077D" w:rsidRDefault="0098077D" w:rsidP="0098077D">
      <w:pPr>
        <w:pStyle w:val="FootnoteText"/>
      </w:pPr>
      <w:r>
        <w:rPr>
          <w:rStyle w:val="FootnoteReference"/>
        </w:rPr>
        <w:footnoteRef/>
      </w:r>
      <w:r>
        <w:t xml:space="preserve"> Alfred North Whitehead, </w:t>
      </w:r>
      <w:r w:rsidRPr="00745FCF">
        <w:rPr>
          <w:i/>
          <w:iCs/>
        </w:rPr>
        <w:t>Process and Reality</w:t>
      </w:r>
      <w:r>
        <w:t>, p. 39</w:t>
      </w:r>
    </w:p>
  </w:footnote>
  <w:footnote w:id="5">
    <w:p w14:paraId="1BD05B1C" w14:textId="77777777" w:rsidR="0098077D" w:rsidRDefault="0098077D" w:rsidP="0098077D">
      <w:pPr>
        <w:pStyle w:val="FootnoteText"/>
      </w:pPr>
      <w:r>
        <w:rPr>
          <w:rStyle w:val="FootnoteReference"/>
        </w:rPr>
        <w:footnoteRef/>
      </w:r>
      <w:r>
        <w:t xml:space="preserve"> </w:t>
      </w:r>
      <w:r w:rsidRPr="001F6856">
        <w:rPr>
          <w:color w:val="000000"/>
          <w:shd w:val="clear" w:color="auto" w:fill="FFFFFF"/>
        </w:rPr>
        <w:t>Ralph Waldo Emerson</w:t>
      </w:r>
      <w:r w:rsidRPr="001F6856">
        <w:rPr>
          <w:i/>
          <w:color w:val="000000"/>
          <w:shd w:val="clear" w:color="auto" w:fill="FFFFFF"/>
        </w:rPr>
        <w:t xml:space="preserve">, Representative Men, </w:t>
      </w:r>
      <w:r w:rsidRPr="001F6856">
        <w:rPr>
          <w:color w:val="000000"/>
          <w:shd w:val="clear" w:color="auto" w:fill="FFFFFF"/>
        </w:rPr>
        <w:t>Vol. 4, p. 40</w:t>
      </w:r>
    </w:p>
  </w:footnote>
  <w:footnote w:id="6">
    <w:p w14:paraId="2343F134" w14:textId="77777777" w:rsidR="0098077D" w:rsidRPr="00E81415" w:rsidRDefault="0098077D" w:rsidP="0098077D">
      <w:pPr>
        <w:pStyle w:val="FootnoteText"/>
      </w:pPr>
      <w:r>
        <w:rPr>
          <w:rStyle w:val="FootnoteReference"/>
        </w:rPr>
        <w:footnoteRef/>
      </w:r>
      <w:r>
        <w:t xml:space="preserve"> </w:t>
      </w:r>
      <w:r w:rsidRPr="00E81415">
        <w:t>There are very few exceptions to this rule within mainline Christianity and Islam. In Judaism, some such as the Hasidic Jews, regard the Kabbala has sacred. The Kabbala teach</w:t>
      </w:r>
      <w:r>
        <w:t>es</w:t>
      </w:r>
      <w:r w:rsidRPr="00E81415">
        <w:t xml:space="preserve"> reincarnation. </w:t>
      </w:r>
    </w:p>
  </w:footnote>
  <w:footnote w:id="7">
    <w:p w14:paraId="00891BEE" w14:textId="77777777" w:rsidR="0098077D" w:rsidRDefault="0098077D" w:rsidP="0098077D">
      <w:pPr>
        <w:pStyle w:val="FootnoteText"/>
      </w:pPr>
      <w:r>
        <w:rPr>
          <w:rStyle w:val="FootnoteReference"/>
        </w:rPr>
        <w:footnoteRef/>
      </w:r>
      <w:r>
        <w:t xml:space="preserve"> 1 Timothy 6:16</w:t>
      </w:r>
    </w:p>
  </w:footnote>
  <w:footnote w:id="8">
    <w:p w14:paraId="27012A3E" w14:textId="77777777" w:rsidR="0098077D" w:rsidRDefault="0098077D" w:rsidP="0098077D">
      <w:pPr>
        <w:pStyle w:val="FootnoteText"/>
      </w:pPr>
      <w:r>
        <w:rPr>
          <w:rStyle w:val="FootnoteReference"/>
        </w:rPr>
        <w:footnoteRef/>
      </w:r>
      <w:r>
        <w:t xml:space="preserve"> Ezekiel 18:4</w:t>
      </w:r>
    </w:p>
  </w:footnote>
  <w:footnote w:id="9">
    <w:p w14:paraId="72BE4983" w14:textId="77777777" w:rsidR="0098077D" w:rsidRDefault="0098077D" w:rsidP="0098077D">
      <w:pPr>
        <w:pStyle w:val="FootnoteText"/>
      </w:pPr>
      <w:r>
        <w:rPr>
          <w:rStyle w:val="FootnoteReference"/>
        </w:rPr>
        <w:footnoteRef/>
      </w:r>
      <w:r>
        <w:t xml:space="preserve"> To the surprise of many, the “nephesh” is many times translated as “the dead” (Leviticus 19:28; 21:1; Numbers 5:2; 6:11) “dead body” (Leviticus 21:11; Numbers 9:6, 7, 9, 10 KJV) “a corps” (Leviticus 22:4 NAS, INT) and “mortally” (Deuteronomy 19:11). Nephesh is translated in varying Bible translations in various ways including: “life” “body” “mind” “person” “oneself” “being” “heart” “own pleasure” “creature” “anyone” “feelings” “desire” etc. It can apply to living or dead things, people or animals, and minds/emotions or bodies. The common denominator through all the applications is that nephesh refers to an individual; often the core, true, and inner person—the personality. No where is there any indication of it ever applying to something that is immortal or lives apart from the body.</w:t>
      </w:r>
    </w:p>
  </w:footnote>
  <w:footnote w:id="10">
    <w:p w14:paraId="09172CC1" w14:textId="77777777" w:rsidR="0098077D" w:rsidRDefault="0098077D" w:rsidP="0098077D">
      <w:pPr>
        <w:pStyle w:val="FootnoteText"/>
      </w:pPr>
      <w:r>
        <w:rPr>
          <w:rStyle w:val="FootnoteReference"/>
        </w:rPr>
        <w:footnoteRef/>
      </w:r>
      <w:r>
        <w:t xml:space="preserve"> 4 Maccabees 9:21-22</w:t>
      </w:r>
    </w:p>
  </w:footnote>
  <w:footnote w:id="11">
    <w:p w14:paraId="591C913F" w14:textId="77777777" w:rsidR="0098077D" w:rsidRDefault="0098077D" w:rsidP="0098077D">
      <w:pPr>
        <w:pStyle w:val="FootnoteText"/>
      </w:pPr>
      <w:r>
        <w:rPr>
          <w:rStyle w:val="FootnoteReference"/>
        </w:rPr>
        <w:footnoteRef/>
      </w:r>
      <w:r>
        <w:t xml:space="preserve"> 4 Maccabees 18:23, see also 7:1-3; 9:9; 16:13</w:t>
      </w:r>
    </w:p>
  </w:footnote>
  <w:footnote w:id="12">
    <w:p w14:paraId="37FD1360" w14:textId="77777777" w:rsidR="0098077D" w:rsidRDefault="0098077D" w:rsidP="0098077D">
      <w:pPr>
        <w:pStyle w:val="FootnoteText"/>
      </w:pPr>
      <w:r>
        <w:rPr>
          <w:rStyle w:val="FootnoteReference"/>
        </w:rPr>
        <w:footnoteRef/>
      </w:r>
      <w:r>
        <w:t xml:space="preserve"> Fourth</w:t>
      </w:r>
      <w:r w:rsidRPr="00734BA4">
        <w:t xml:space="preserve"> Maccabees portrays the punishment of the wicked meted out immediately upon death </w:t>
      </w:r>
      <w:r w:rsidRPr="00A20019">
        <w:rPr>
          <w:highlight w:val="yellow"/>
        </w:rPr>
        <w:t>(</w:t>
      </w:r>
      <w:r>
        <w:t>12:18; 18:5, 22) and the reward of life with the saints before God immediately after death, without waiting for the resurrection (13:17; 17:12, 18</w:t>
      </w:r>
    </w:p>
  </w:footnote>
  <w:footnote w:id="13">
    <w:p w14:paraId="02DD1C86" w14:textId="77777777" w:rsidR="0098077D" w:rsidRDefault="0098077D" w:rsidP="0098077D">
      <w:pPr>
        <w:pStyle w:val="FootnoteText"/>
      </w:pPr>
      <w:r>
        <w:rPr>
          <w:rStyle w:val="FootnoteReference"/>
        </w:rPr>
        <w:footnoteRef/>
      </w:r>
      <w:r>
        <w:t xml:space="preserve"> The Martyrdom of Polycarp or T</w:t>
      </w:r>
      <w:r w:rsidRPr="00C851CD">
        <w:t xml:space="preserve">he </w:t>
      </w:r>
      <w:r>
        <w:t>L</w:t>
      </w:r>
      <w:r w:rsidRPr="00C851CD">
        <w:t xml:space="preserve">etter of the </w:t>
      </w:r>
      <w:r>
        <w:t>S</w:t>
      </w:r>
      <w:r w:rsidRPr="00C851CD">
        <w:t>myrnaeans</w:t>
      </w:r>
      <w:r>
        <w:t xml:space="preserve"> 14:2</w:t>
      </w:r>
    </w:p>
  </w:footnote>
  <w:footnote w:id="14">
    <w:p w14:paraId="779C0191" w14:textId="77777777" w:rsidR="0098077D" w:rsidRPr="00C37EAA" w:rsidRDefault="0098077D" w:rsidP="0098077D">
      <w:pPr>
        <w:pStyle w:val="FootnoteText"/>
      </w:pPr>
      <w:r>
        <w:rPr>
          <w:rStyle w:val="FootnoteReference"/>
        </w:rPr>
        <w:footnoteRef/>
      </w:r>
      <w:r>
        <w:t xml:space="preserve"> Justin Martyr, “The Soul Is Not in Its Own Nature Immortal” chapter 5, </w:t>
      </w:r>
      <w:r>
        <w:rPr>
          <w:i/>
          <w:iCs/>
        </w:rPr>
        <w:t>Dialogue with Trypho</w:t>
      </w:r>
    </w:p>
  </w:footnote>
  <w:footnote w:id="15">
    <w:p w14:paraId="36F4FD0F" w14:textId="77777777" w:rsidR="0098077D" w:rsidRDefault="0098077D" w:rsidP="0098077D">
      <w:pPr>
        <w:pStyle w:val="FootnoteText"/>
      </w:pPr>
      <w:r>
        <w:rPr>
          <w:rStyle w:val="FootnoteReference"/>
        </w:rPr>
        <w:footnoteRef/>
      </w:r>
      <w:r>
        <w:t xml:space="preserve"> Genesis 3:4, 5</w:t>
      </w:r>
    </w:p>
  </w:footnote>
  <w:footnote w:id="16">
    <w:p w14:paraId="6F9CE9B6" w14:textId="77777777" w:rsidR="0098077D" w:rsidRDefault="0098077D" w:rsidP="0098077D">
      <w:pPr>
        <w:pStyle w:val="FootnoteText"/>
      </w:pPr>
      <w:r>
        <w:rPr>
          <w:rStyle w:val="FootnoteReference"/>
        </w:rPr>
        <w:footnoteRef/>
      </w:r>
      <w:r>
        <w:t xml:space="preserve"> 1 Timothy 6:16</w:t>
      </w:r>
    </w:p>
  </w:footnote>
  <w:footnote w:id="17">
    <w:p w14:paraId="71BECCF9" w14:textId="77777777" w:rsidR="0098077D" w:rsidRPr="00AF789E" w:rsidRDefault="0098077D" w:rsidP="0098077D">
      <w:pPr>
        <w:pStyle w:val="FootnoteText"/>
        <w:rPr>
          <w:i/>
          <w:iCs/>
        </w:rPr>
      </w:pPr>
      <w:r>
        <w:rPr>
          <w:rStyle w:val="FootnoteReference"/>
        </w:rPr>
        <w:footnoteRef/>
      </w:r>
      <w:r>
        <w:t xml:space="preserve"> You can find a list of early church “fathers” who believed in gifted immortality after the resurrection and not inherent in the soul in Froom’s classic </w:t>
      </w:r>
      <w:r>
        <w:rPr>
          <w:i/>
          <w:iCs/>
        </w:rPr>
        <w:t xml:space="preserve">The Conditionalist Faith of Our Fathers, Vol. 1, pages 757-794. </w:t>
      </w:r>
      <w:r w:rsidRPr="00FB5715">
        <w:t xml:space="preserve"> There</w:t>
      </w:r>
      <w:r>
        <w:t xml:space="preserve"> are more examples scattered through the rest of Vol. 1, but this passage has the greatest concentration of early church fathers who believed in conditionalism. </w:t>
      </w:r>
    </w:p>
  </w:footnote>
  <w:footnote w:id="18">
    <w:p w14:paraId="3FCA4EFD" w14:textId="77777777" w:rsidR="0098077D" w:rsidRDefault="0098077D" w:rsidP="0098077D">
      <w:pPr>
        <w:pStyle w:val="FootnoteText"/>
      </w:pPr>
      <w:r>
        <w:rPr>
          <w:rStyle w:val="FootnoteReference"/>
        </w:rPr>
        <w:footnoteRef/>
      </w:r>
      <w:r>
        <w:t xml:space="preserve"> </w:t>
      </w:r>
      <w:r w:rsidRPr="008A6D4D">
        <w:t xml:space="preserve">Tertullian, </w:t>
      </w:r>
      <w:r w:rsidRPr="008A6D4D">
        <w:rPr>
          <w:i/>
          <w:iCs/>
        </w:rPr>
        <w:t>Resurrection of the Flesh</w:t>
      </w:r>
      <w:r w:rsidRPr="008A6D4D">
        <w:t>, ch</w:t>
      </w:r>
      <w:r>
        <w:t>apter 3</w:t>
      </w:r>
    </w:p>
  </w:footnote>
  <w:footnote w:id="19">
    <w:p w14:paraId="61E4C4C6" w14:textId="77777777" w:rsidR="0098077D" w:rsidRDefault="0098077D" w:rsidP="0098077D">
      <w:pPr>
        <w:pStyle w:val="FootnoteText"/>
      </w:pPr>
      <w:r>
        <w:rPr>
          <w:rStyle w:val="FootnoteReference"/>
        </w:rPr>
        <w:footnoteRef/>
      </w:r>
      <w:r>
        <w:t xml:space="preserve"> Revelation 20:14</w:t>
      </w:r>
    </w:p>
  </w:footnote>
  <w:footnote w:id="20">
    <w:p w14:paraId="205DD199" w14:textId="77777777" w:rsidR="0098077D" w:rsidRDefault="0098077D" w:rsidP="0098077D">
      <w:pPr>
        <w:pStyle w:val="FootnoteText"/>
      </w:pPr>
      <w:r>
        <w:rPr>
          <w:rStyle w:val="FootnoteReference"/>
        </w:rPr>
        <w:footnoteRef/>
      </w:r>
      <w:r>
        <w:t xml:space="preserve"> John 3:16</w:t>
      </w:r>
    </w:p>
  </w:footnote>
  <w:footnote w:id="21">
    <w:p w14:paraId="4A3EA31D" w14:textId="77777777" w:rsidR="0098077D" w:rsidRDefault="0098077D" w:rsidP="0098077D">
      <w:pPr>
        <w:pStyle w:val="FootnoteText"/>
      </w:pPr>
      <w:r>
        <w:rPr>
          <w:rStyle w:val="FootnoteReference"/>
        </w:rPr>
        <w:footnoteRef/>
      </w:r>
      <w:r>
        <w:t xml:space="preserve"> Psalms 104:35; Isaiah 1:28; 29:20; 66:17</w:t>
      </w:r>
    </w:p>
  </w:footnote>
  <w:footnote w:id="22">
    <w:p w14:paraId="600462C7" w14:textId="77777777" w:rsidR="0098077D" w:rsidRDefault="0098077D" w:rsidP="0098077D">
      <w:pPr>
        <w:pStyle w:val="FootnoteText"/>
      </w:pPr>
      <w:r>
        <w:rPr>
          <w:rStyle w:val="FootnoteReference"/>
        </w:rPr>
        <w:footnoteRef/>
      </w:r>
      <w:r>
        <w:t xml:space="preserve"> Psalms 104:35</w:t>
      </w:r>
    </w:p>
  </w:footnote>
  <w:footnote w:id="23">
    <w:p w14:paraId="234E64EE" w14:textId="77777777" w:rsidR="0098077D" w:rsidRDefault="0098077D" w:rsidP="0098077D">
      <w:pPr>
        <w:pStyle w:val="FootnoteText"/>
      </w:pPr>
      <w:r>
        <w:rPr>
          <w:rStyle w:val="FootnoteReference"/>
        </w:rPr>
        <w:footnoteRef/>
      </w:r>
      <w:r>
        <w:t xml:space="preserve"> Psalms 37:20</w:t>
      </w:r>
    </w:p>
  </w:footnote>
  <w:footnote w:id="24">
    <w:p w14:paraId="1182C2E0" w14:textId="77777777" w:rsidR="0098077D" w:rsidRDefault="0098077D" w:rsidP="0098077D">
      <w:pPr>
        <w:pStyle w:val="FootnoteText"/>
      </w:pPr>
      <w:r>
        <w:rPr>
          <w:rStyle w:val="FootnoteReference"/>
        </w:rPr>
        <w:footnoteRef/>
      </w:r>
      <w:r>
        <w:t xml:space="preserve"> Psalms 37:36</w:t>
      </w:r>
    </w:p>
  </w:footnote>
  <w:footnote w:id="25">
    <w:p w14:paraId="607AB8A1" w14:textId="77777777" w:rsidR="0098077D" w:rsidRDefault="0098077D" w:rsidP="0098077D">
      <w:pPr>
        <w:pStyle w:val="FootnoteText"/>
      </w:pPr>
      <w:r>
        <w:rPr>
          <w:rStyle w:val="FootnoteReference"/>
        </w:rPr>
        <w:footnoteRef/>
      </w:r>
      <w:r>
        <w:t xml:space="preserve"> Psalms 37:38; Matthew 10:28</w:t>
      </w:r>
    </w:p>
  </w:footnote>
  <w:footnote w:id="26">
    <w:p w14:paraId="5F09ED9A" w14:textId="77777777" w:rsidR="0098077D" w:rsidRDefault="0098077D" w:rsidP="0098077D">
      <w:pPr>
        <w:pStyle w:val="FootnoteText"/>
      </w:pPr>
      <w:r>
        <w:rPr>
          <w:rStyle w:val="FootnoteReference"/>
        </w:rPr>
        <w:footnoteRef/>
      </w:r>
      <w:r>
        <w:t xml:space="preserve"> Psalms 37:9, 34, 38</w:t>
      </w:r>
    </w:p>
  </w:footnote>
  <w:footnote w:id="27">
    <w:p w14:paraId="1AED031E" w14:textId="77777777" w:rsidR="0098077D" w:rsidRDefault="0098077D" w:rsidP="0098077D">
      <w:pPr>
        <w:pStyle w:val="FootnoteText"/>
      </w:pPr>
      <w:r>
        <w:rPr>
          <w:rStyle w:val="FootnoteReference"/>
        </w:rPr>
        <w:footnoteRef/>
      </w:r>
      <w:r>
        <w:t xml:space="preserve"> Revelation 20:9</w:t>
      </w:r>
    </w:p>
  </w:footnote>
  <w:footnote w:id="28">
    <w:p w14:paraId="119D4508" w14:textId="77777777" w:rsidR="0098077D" w:rsidRDefault="0098077D" w:rsidP="0098077D">
      <w:pPr>
        <w:pStyle w:val="FootnoteText"/>
      </w:pPr>
      <w:r>
        <w:rPr>
          <w:rStyle w:val="FootnoteReference"/>
        </w:rPr>
        <w:footnoteRef/>
      </w:r>
      <w:r>
        <w:t xml:space="preserve"> Obadiah 16</w:t>
      </w:r>
    </w:p>
  </w:footnote>
  <w:footnote w:id="29">
    <w:p w14:paraId="596E010C" w14:textId="77777777" w:rsidR="0098077D" w:rsidRDefault="0098077D" w:rsidP="0098077D">
      <w:pPr>
        <w:pStyle w:val="FootnoteText"/>
      </w:pPr>
      <w:r>
        <w:rPr>
          <w:rStyle w:val="FootnoteReference"/>
        </w:rPr>
        <w:footnoteRef/>
      </w:r>
      <w:r>
        <w:t xml:space="preserve"> Though this is still considered conservative theology, many from several Christian groups are abandoning this theory. </w:t>
      </w:r>
    </w:p>
  </w:footnote>
  <w:footnote w:id="30">
    <w:p w14:paraId="6C2B0B97" w14:textId="77777777" w:rsidR="0098077D" w:rsidRDefault="0098077D" w:rsidP="0098077D">
      <w:pPr>
        <w:pStyle w:val="FootnoteText"/>
      </w:pPr>
      <w:r>
        <w:rPr>
          <w:rStyle w:val="FootnoteReference"/>
        </w:rPr>
        <w:footnoteRef/>
      </w:r>
      <w:r>
        <w:t xml:space="preserve"> 4 Maccabees 10:10, 11</w:t>
      </w:r>
    </w:p>
  </w:footnote>
  <w:footnote w:id="31">
    <w:p w14:paraId="4A687EB7" w14:textId="77777777" w:rsidR="0098077D" w:rsidRPr="003A6349" w:rsidRDefault="0098077D" w:rsidP="0098077D">
      <w:pPr>
        <w:pStyle w:val="FootnoteText"/>
        <w:rPr>
          <w:i/>
          <w:iCs/>
        </w:rPr>
      </w:pPr>
      <w:r>
        <w:rPr>
          <w:rStyle w:val="FootnoteReference"/>
        </w:rPr>
        <w:footnoteRef/>
      </w:r>
      <w:r>
        <w:t xml:space="preserve"> </w:t>
      </w:r>
      <w:r>
        <w:rPr>
          <w:i/>
          <w:iCs/>
        </w:rPr>
        <w:t>Ibid. 12:12</w:t>
      </w:r>
    </w:p>
  </w:footnote>
  <w:footnote w:id="32">
    <w:p w14:paraId="25D20AD3" w14:textId="77777777" w:rsidR="0098077D" w:rsidRPr="00CB6862" w:rsidRDefault="0098077D" w:rsidP="0098077D">
      <w:pPr>
        <w:pStyle w:val="FootnoteText"/>
        <w:rPr>
          <w:i/>
          <w:iCs/>
        </w:rPr>
      </w:pPr>
      <w:r>
        <w:rPr>
          <w:rStyle w:val="FootnoteReference"/>
        </w:rPr>
        <w:footnoteRef/>
      </w:r>
      <w:r>
        <w:t xml:space="preserve"> Homer, </w:t>
      </w:r>
      <w:r>
        <w:rPr>
          <w:i/>
          <w:iCs/>
        </w:rPr>
        <w:t>the Odyssey, Book 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77D"/>
    <w:rsid w:val="00011CF3"/>
    <w:rsid w:val="000677D8"/>
    <w:rsid w:val="0032176C"/>
    <w:rsid w:val="00397AE6"/>
    <w:rsid w:val="00467962"/>
    <w:rsid w:val="004747CE"/>
    <w:rsid w:val="00490019"/>
    <w:rsid w:val="004C0F9B"/>
    <w:rsid w:val="005C05E7"/>
    <w:rsid w:val="00633E12"/>
    <w:rsid w:val="006761AC"/>
    <w:rsid w:val="00976473"/>
    <w:rsid w:val="0098077D"/>
    <w:rsid w:val="00AA4B6B"/>
    <w:rsid w:val="00AC1099"/>
    <w:rsid w:val="00BF4BFA"/>
    <w:rsid w:val="00C347ED"/>
    <w:rsid w:val="00C6635D"/>
    <w:rsid w:val="00D06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CE686"/>
  <w15:chartTrackingRefBased/>
  <w15:docId w15:val="{5D03D43A-3923-4F25-80E4-3FB588E82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77D"/>
    <w:pPr>
      <w:spacing w:after="0" w:line="240" w:lineRule="auto"/>
    </w:pPr>
    <w:rPr>
      <w:rFonts w:ascii="Times New Roman" w:eastAsia="Times New Roman" w:hAnsi="Times New Roman" w:cs="Times New Roman"/>
      <w:kern w:val="0"/>
      <w14:ligatures w14:val="none"/>
    </w:rPr>
  </w:style>
  <w:style w:type="paragraph" w:styleId="Heading2">
    <w:name w:val="heading 2"/>
    <w:basedOn w:val="Normal"/>
    <w:next w:val="Normal"/>
    <w:link w:val="Heading2Char"/>
    <w:uiPriority w:val="9"/>
    <w:unhideWhenUsed/>
    <w:qFormat/>
    <w:rsid w:val="0098077D"/>
    <w:pPr>
      <w:keepNext/>
      <w:keepLines/>
      <w:spacing w:before="40"/>
      <w:outlineLvl w:val="1"/>
    </w:pPr>
    <w:rPr>
      <w:rFonts w:asciiTheme="majorHAnsi" w:eastAsiaTheme="majorEastAsia" w:hAnsiTheme="majorHAnsi" w:cstheme="majorBidi"/>
      <w:color w:val="0F476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8077D"/>
    <w:rPr>
      <w:rFonts w:asciiTheme="majorHAnsi" w:eastAsiaTheme="majorEastAsia" w:hAnsiTheme="majorHAnsi" w:cstheme="majorBidi"/>
      <w:color w:val="0F4761" w:themeColor="accent1" w:themeShade="BF"/>
      <w:kern w:val="0"/>
      <w:sz w:val="26"/>
      <w:szCs w:val="26"/>
      <w14:ligatures w14:val="none"/>
    </w:rPr>
  </w:style>
  <w:style w:type="paragraph" w:styleId="FootnoteText">
    <w:name w:val="footnote text"/>
    <w:basedOn w:val="Normal"/>
    <w:link w:val="FootnoteTextChar"/>
    <w:uiPriority w:val="99"/>
    <w:semiHidden/>
    <w:rsid w:val="0098077D"/>
    <w:rPr>
      <w:sz w:val="20"/>
      <w:szCs w:val="20"/>
    </w:rPr>
  </w:style>
  <w:style w:type="character" w:customStyle="1" w:styleId="FootnoteTextChar">
    <w:name w:val="Footnote Text Char"/>
    <w:basedOn w:val="DefaultParagraphFont"/>
    <w:link w:val="FootnoteText"/>
    <w:uiPriority w:val="99"/>
    <w:semiHidden/>
    <w:rsid w:val="0098077D"/>
    <w:rPr>
      <w:rFonts w:ascii="Times New Roman" w:eastAsia="Times New Roman" w:hAnsi="Times New Roman" w:cs="Times New Roman"/>
      <w:kern w:val="0"/>
      <w:sz w:val="20"/>
      <w:szCs w:val="20"/>
      <w14:ligatures w14:val="none"/>
    </w:rPr>
  </w:style>
  <w:style w:type="character" w:styleId="FootnoteReference">
    <w:name w:val="footnote reference"/>
    <w:uiPriority w:val="99"/>
    <w:semiHidden/>
    <w:rsid w:val="0098077D"/>
    <w:rPr>
      <w:vertAlign w:val="superscript"/>
    </w:rPr>
  </w:style>
  <w:style w:type="character" w:styleId="Hyperlink">
    <w:name w:val="Hyperlink"/>
    <w:basedOn w:val="DefaultParagraphFont"/>
    <w:uiPriority w:val="99"/>
    <w:unhideWhenUsed/>
    <w:rsid w:val="0098077D"/>
    <w:rPr>
      <w:color w:val="467886" w:themeColor="hyperlink"/>
      <w:u w:val="single"/>
    </w:rPr>
  </w:style>
  <w:style w:type="paragraph" w:styleId="Header">
    <w:name w:val="header"/>
    <w:basedOn w:val="Normal"/>
    <w:link w:val="HeaderChar"/>
    <w:uiPriority w:val="99"/>
    <w:unhideWhenUsed/>
    <w:rsid w:val="0032176C"/>
    <w:pPr>
      <w:tabs>
        <w:tab w:val="center" w:pos="4680"/>
        <w:tab w:val="right" w:pos="9360"/>
      </w:tabs>
    </w:pPr>
  </w:style>
  <w:style w:type="character" w:customStyle="1" w:styleId="HeaderChar">
    <w:name w:val="Header Char"/>
    <w:basedOn w:val="DefaultParagraphFont"/>
    <w:link w:val="Header"/>
    <w:uiPriority w:val="99"/>
    <w:rsid w:val="0032176C"/>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32176C"/>
    <w:pPr>
      <w:tabs>
        <w:tab w:val="center" w:pos="4680"/>
        <w:tab w:val="right" w:pos="9360"/>
      </w:tabs>
    </w:pPr>
  </w:style>
  <w:style w:type="character" w:customStyle="1" w:styleId="FooterChar">
    <w:name w:val="Footer Char"/>
    <w:basedOn w:val="DefaultParagraphFont"/>
    <w:link w:val="Footer"/>
    <w:uiPriority w:val="99"/>
    <w:rsid w:val="0032176C"/>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ewadvent.org/cathen/06608a.htm" TargetMode="External"/><Relationship Id="rId3" Type="http://schemas.openxmlformats.org/officeDocument/2006/relationships/webSettings" Target="webSettings.xml"/><Relationship Id="rId7" Type="http://schemas.openxmlformats.org/officeDocument/2006/relationships/hyperlink" Target="https://www.newadvent.org/cathen/10715a.ht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ewadvent.org/cathen/06608a.ht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newadvent.org/cathen/14153a.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2292</Words>
  <Characters>13069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Ravencroft</dc:creator>
  <cp:keywords/>
  <dc:description/>
  <cp:lastModifiedBy>Jesse Ravencroft</cp:lastModifiedBy>
  <cp:revision>2</cp:revision>
  <cp:lastPrinted>2025-11-06T21:07:00Z</cp:lastPrinted>
  <dcterms:created xsi:type="dcterms:W3CDTF">2025-10-27T10:25:00Z</dcterms:created>
  <dcterms:modified xsi:type="dcterms:W3CDTF">2025-11-06T22:58:00Z</dcterms:modified>
</cp:coreProperties>
</file>